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Chat Transcript</w:t>
      </w:r>
    </w:p>
    <w:p>
      <w:pPr>
        <w:spacing w:after="200"/>
        <w:jc w:val="center"/>
      </w:pPr>
      <w:r>
        <w:rPr>
          <w:rFonts w:ascii="Calibri" w:cs="Calibri" w:eastAsia="Calibri" w:hAnsi="Calibri"/>
          <w:color w:val="666666"/>
          <w:sz w:val="22"/>
          <w:szCs w:val="22"/>
        </w:rPr>
        <w:t xml:space="preserve">U.S. Avocado Market Analysis — September 27, 2026</w:t>
      </w:r>
    </w:p>
    <w:p>
      <w:pPr>
        <w:pBdr>
          <w:bottom w:val="single" w:color="1F3864" w:sz="4"/>
        </w:pBdr>
        <w:spacing w:after="80" w:before="240"/>
      </w:pPr>
      <w:r>
        <w:rPr>
          <w:rFonts w:ascii="Calibri" w:cs="Calibri" w:eastAsia="Calibri" w:hAnsi="Calibri"/>
          <w:b/>
          <w:bCs/>
          <w:color w:val="1F3864"/>
          <w:sz w:val="24"/>
          <w:szCs w:val="24"/>
        </w:rPr>
        <w:t xml:space="preserve">You</w:t>
      </w:r>
    </w:p>
    <w:p>
      <w:pPr>
        <w:spacing w:after="120"/>
      </w:pPr>
      <w:r>
        <w:rPr>
          <w:rFonts w:ascii="Calibri" w:cs="Calibri" w:eastAsia="Calibri" w:hAnsi="Calibri"/>
          <w:sz w:val="22"/>
          <w:szCs w:val="22"/>
        </w:rPr>
        <w:t xml:space="preserve">Using the 2025 and 2026 avocado files I uploaded, analyze the trends in the avocado market in the USA. Assume I am a midlevel manager. Please write a memo addressed to me using the data from these two files. The memo should be no longer than 2 pages.</w:t>
      </w:r>
    </w:p>
    <w:p>
      <w:pPr>
        <w:spacing w:after="120"/>
      </w:pPr>
      <w:r>
        <w:rPr>
          <w:rFonts w:ascii="Calibri" w:cs="Calibri" w:eastAsia="Calibri" w:hAnsi="Calibri"/>
          <w:i/>
          <w:iCs/>
          <w:color w:val="666666"/>
          <w:sz w:val="22"/>
          <w:szCs w:val="22"/>
        </w:rPr>
        <w:t xml:space="preserve">Uploaded files: HAB-FlatFile-Weekly-2025.csv, HAB-FlatFile-Weekly-2026-P1-P8.csv</w:t>
      </w:r>
    </w:p>
    <w:p>
      <w:pPr>
        <w:pBdr>
          <w:bottom w:val="single" w:color="2E7D32" w:sz="4"/>
        </w:pBdr>
        <w:spacing w:after="80" w:before="240"/>
      </w:pPr>
      <w:r>
        <w:rPr>
          <w:rFonts w:ascii="Calibri" w:cs="Calibri" w:eastAsia="Calibri" w:hAnsi="Calibri"/>
          <w:b/>
          <w:bCs/>
          <w:color w:val="2E7D32"/>
          <w:sz w:val="24"/>
          <w:szCs w:val="24"/>
        </w:rPr>
        <w:t xml:space="preserve">Claude</w:t>
      </w:r>
    </w:p>
    <w:p>
      <w:pPr>
        <w:spacing w:after="80" w:before="160"/>
      </w:pPr>
      <w:r>
        <w:rPr>
          <w:rFonts w:ascii="Calibri" w:cs="Calibri" w:eastAsia="Calibri" w:hAnsi="Calibri"/>
          <w:b/>
          <w:bCs/>
          <w:color w:val="1F3864"/>
          <w:sz w:val="22"/>
          <w:szCs w:val="22"/>
        </w:rPr>
        <w:t xml:space="preserve">Analysis steps</w:t>
      </w:r>
    </w:p>
    <w:p>
      <w:pPr>
        <w:pStyle w:val="ListParagraph"/>
        <w:numPr>
          <w:ilvl w:val="0"/>
          <w:numId w:val="2"/>
        </w:numPr>
        <w:spacing w:after="60"/>
      </w:pPr>
      <w:r>
        <w:rPr>
          <w:rFonts w:ascii="Calibri" w:cs="Calibri" w:eastAsia="Calibri" w:hAnsi="Calibri"/>
          <w:sz w:val="22"/>
          <w:szCs w:val="22"/>
        </w:rPr>
        <w:t xml:space="preserve">Inspected both files: weekly Hass Avocado Board data by market, split into Conventional and Organic, with average selling price, total volume, PLU sizes (4046, 4225, 4770) and bagged volume.</w:t>
      </w:r>
    </w:p>
    <w:p>
      <w:pPr>
        <w:pStyle w:val="ListParagraph"/>
        <w:numPr>
          <w:ilvl w:val="0"/>
          <w:numId w:val="2"/>
        </w:numPr>
        <w:spacing w:after="60"/>
      </w:pPr>
      <w:r>
        <w:rPr>
          <w:rFonts w:ascii="Calibri" w:cs="Calibri" w:eastAsia="Calibri" w:hAnsi="Calibri"/>
          <w:sz w:val="22"/>
          <w:szCs w:val="22"/>
        </w:rPr>
        <w:t xml:space="preserve">Found a "Total U.S." geography and used it for the national picture. 2025 covers 52 weeks; 2026 covers 32 weeks (through the week ending Aug 9).</w:t>
      </w:r>
    </w:p>
    <w:p>
      <w:pPr>
        <w:pStyle w:val="ListParagraph"/>
        <w:numPr>
          <w:ilvl w:val="0"/>
          <w:numId w:val="2"/>
        </w:numPr>
        <w:spacing w:after="60"/>
      </w:pPr>
      <w:r>
        <w:rPr>
          <w:rFonts w:ascii="Calibri" w:cs="Calibri" w:eastAsia="Calibri" w:hAnsi="Calibri"/>
          <w:sz w:val="22"/>
          <w:szCs w:val="22"/>
        </w:rPr>
        <w:t xml:space="preserve">For a fair year-over-year comparison, matched 2025 weeks 1–32 against 2026 weeks 1–32, using volume-weighted average prices.</w:t>
      </w:r>
    </w:p>
    <w:p>
      <w:pPr>
        <w:pStyle w:val="ListParagraph"/>
        <w:numPr>
          <w:ilvl w:val="0"/>
          <w:numId w:val="2"/>
        </w:numPr>
        <w:spacing w:after="60"/>
      </w:pPr>
      <w:r>
        <w:rPr>
          <w:rFonts w:ascii="Calibri" w:cs="Calibri" w:eastAsia="Calibri" w:hAnsi="Calibri"/>
          <w:sz w:val="22"/>
          <w:szCs w:val="22"/>
        </w:rPr>
        <w:t xml:space="preserve">Reviewed weekly price and volume for both years to identify the mid-year reversal.</w:t>
      </w:r>
    </w:p>
    <w:p>
      <w:pPr>
        <w:spacing w:after="80" w:before="160"/>
      </w:pPr>
      <w:r>
        <w:rPr>
          <w:rFonts w:ascii="Calibri" w:cs="Calibri" w:eastAsia="Calibri" w:hAnsi="Calibri"/>
          <w:b/>
          <w:bCs/>
          <w:color w:val="1F3864"/>
          <w:sz w:val="22"/>
          <w:szCs w:val="22"/>
        </w:rPr>
        <w:t xml:space="preserve">Key findings (weeks 1–32, 2026 vs. 2025)</w:t>
      </w:r>
    </w:p>
    <w:p>
      <w:pPr>
        <w:pStyle w:val="ListParagraph"/>
        <w:numPr>
          <w:ilvl w:val="0"/>
          <w:numId w:val="2"/>
        </w:numPr>
        <w:spacing w:after="60"/>
      </w:pPr>
      <w:r>
        <w:rPr>
          <w:rFonts w:ascii="Calibri" w:cs="Calibri" w:eastAsia="Calibri" w:hAnsi="Calibri"/>
          <w:sz w:val="22"/>
          <w:szCs w:val="22"/>
        </w:rPr>
        <w:t xml:space="preserve">Conventional volume: 1.76B lbs to 2.02B lbs (+14.5%).</w:t>
      </w:r>
    </w:p>
    <w:p>
      <w:pPr>
        <w:pStyle w:val="ListParagraph"/>
        <w:numPr>
          <w:ilvl w:val="0"/>
          <w:numId w:val="2"/>
        </w:numPr>
        <w:spacing w:after="60"/>
      </w:pPr>
      <w:r>
        <w:rPr>
          <w:rFonts w:ascii="Calibri" w:cs="Calibri" w:eastAsia="Calibri" w:hAnsi="Calibri"/>
          <w:sz w:val="22"/>
          <w:szCs w:val="22"/>
        </w:rPr>
        <w:t xml:space="preserve">Conventional average price: $1.22/lb to $0.98/lb (–19.4%).</w:t>
      </w:r>
    </w:p>
    <w:p>
      <w:pPr>
        <w:pStyle w:val="ListParagraph"/>
        <w:numPr>
          <w:ilvl w:val="0"/>
          <w:numId w:val="2"/>
        </w:numPr>
        <w:spacing w:after="60"/>
      </w:pPr>
      <w:r>
        <w:rPr>
          <w:rFonts w:ascii="Calibri" w:cs="Calibri" w:eastAsia="Calibri" w:hAnsi="Calibri"/>
          <w:sz w:val="22"/>
          <w:szCs w:val="22"/>
        </w:rPr>
        <w:t xml:space="preserve">Organic volume: 105.9M lbs to 105.1M lbs (–0.7%); organic average price $1.74 to $1.56/lb (–10.3%).</w:t>
      </w:r>
    </w:p>
    <w:p>
      <w:pPr>
        <w:pStyle w:val="ListParagraph"/>
        <w:numPr>
          <w:ilvl w:val="0"/>
          <w:numId w:val="2"/>
        </w:numPr>
        <w:spacing w:after="60"/>
      </w:pPr>
      <w:r>
        <w:rPr>
          <w:rFonts w:ascii="Calibri" w:cs="Calibri" w:eastAsia="Calibri" w:hAnsi="Calibri"/>
          <w:sz w:val="22"/>
          <w:szCs w:val="22"/>
        </w:rPr>
        <w:t xml:space="preserve">Organic share of total volume: 5.7% to 4.9%.</w:t>
      </w:r>
    </w:p>
    <w:p>
      <w:pPr>
        <w:pStyle w:val="ListParagraph"/>
        <w:numPr>
          <w:ilvl w:val="0"/>
          <w:numId w:val="2"/>
        </w:numPr>
        <w:spacing w:after="60"/>
      </w:pPr>
      <w:r>
        <w:rPr>
          <w:rFonts w:ascii="Calibri" w:cs="Calibri" w:eastAsia="Calibri" w:hAnsi="Calibri"/>
          <w:sz w:val="22"/>
          <w:szCs w:val="22"/>
        </w:rPr>
        <w:t xml:space="preserve">Conventional mix: bagged share 39.5% to 41.3%; PLU 4225 (larger fruit) 10.6% to 12.8%; PLU 4046 (smaller fruit) 48.5% to 43.5%.</w:t>
      </w:r>
    </w:p>
    <w:p>
      <w:pPr>
        <w:pStyle w:val="ListParagraph"/>
        <w:numPr>
          <w:ilvl w:val="0"/>
          <w:numId w:val="2"/>
        </w:numPr>
        <w:spacing w:after="60"/>
      </w:pPr>
      <w:r>
        <w:rPr>
          <w:rFonts w:ascii="Calibri" w:cs="Calibri" w:eastAsia="Calibri" w:hAnsi="Calibri"/>
          <w:sz w:val="22"/>
          <w:szCs w:val="22"/>
        </w:rPr>
        <w:t xml:space="preserve">2026 conventional price opened near $0.90–$0.95/lb, climbed from about $0.97 in late May to a high of $1.19 in late June, then eased to $1.06–$1.08 by early August. Weekly volume fell from a 60–77M lb range early in the year to 54–58M lbs from June on.</w:t>
      </w:r>
    </w:p>
    <w:p>
      <w:pPr>
        <w:spacing w:after="80" w:before="160"/>
      </w:pPr>
      <w:r>
        <w:rPr>
          <w:rFonts w:ascii="Calibri" w:cs="Calibri" w:eastAsia="Calibri" w:hAnsi="Calibri"/>
          <w:b/>
          <w:bCs/>
          <w:color w:val="1F3864"/>
          <w:sz w:val="22"/>
          <w:szCs w:val="22"/>
        </w:rPr>
        <w:t xml:space="preserve">Reply</w:t>
      </w:r>
    </w:p>
    <w:p>
      <w:pPr>
        <w:spacing w:after="120"/>
      </w:pPr>
      <w:r>
        <w:rPr>
          <w:rFonts w:ascii="Calibri" w:cs="Calibri" w:eastAsia="Calibri" w:hAnsi="Calibri"/>
          <w:sz w:val="22"/>
          <w:szCs w:val="22"/>
        </w:rPr>
        <w:t xml:space="preserve">Two pages, using national ("Total U.S.") weekly data from both files, comparing 2025 full-year against the first 32 comparable weeks of 2026.</w:t>
      </w:r>
    </w:p>
    <w:p>
      <w:pPr>
        <w:spacing w:after="120"/>
      </w:pPr>
      <w:r>
        <w:rPr>
          <w:rFonts w:ascii="Calibri" w:cs="Calibri" w:eastAsia="Calibri" w:hAnsi="Calibri"/>
          <w:sz w:val="22"/>
          <w:szCs w:val="22"/>
        </w:rPr>
        <w:t xml:space="preserve">Key story it tells: 2026 started with a conventional-avocado supply glut — volume up sharply, prices down ~20% vs. 2025 — but since June that gap has been closing fast as volume cools and prices climb back toward last year's range. Organic stayed roughly flat in volume while conventional grew, so it lost share of the category and its price premium over conventional widened. There's also a brief note on the shift toward more bagged and larger fruit within conventional.</w:t>
      </w:r>
    </w:p>
    <w:p>
      <w:pPr>
        <w:spacing w:after="120"/>
      </w:pPr>
      <w:r>
        <w:rPr>
          <w:rFonts w:ascii="Calibri" w:cs="Calibri" w:eastAsia="Calibri" w:hAnsi="Calibri"/>
          <w:sz w:val="22"/>
          <w:szCs w:val="22"/>
        </w:rPr>
        <w:t xml:space="preserve">I filled in placeholder [Manager Name] / [Your Name] fields at the top — swap those in before sending.</w:t>
      </w:r>
    </w:p>
    <w:p>
      <w:pPr>
        <w:spacing w:after="120"/>
      </w:pPr>
      <w:r>
        <w:rPr>
          <w:rFonts w:ascii="Calibri" w:cs="Calibri" w:eastAsia="Calibri" w:hAnsi="Calibri"/>
          <w:i/>
          <w:iCs/>
          <w:color w:val="666666"/>
          <w:sz w:val="22"/>
          <w:szCs w:val="22"/>
        </w:rPr>
        <w:t xml:space="preserve">Attached file: Avocado_Market_Trends_Memo.docx</w:t>
      </w:r>
    </w:p>
    <w:p>
      <w:pPr>
        <w:pBdr>
          <w:bottom w:val="single" w:color="1F3864" w:sz="4"/>
        </w:pBdr>
        <w:spacing w:after="80" w:before="240"/>
      </w:pPr>
      <w:r>
        <w:rPr>
          <w:rFonts w:ascii="Calibri" w:cs="Calibri" w:eastAsia="Calibri" w:hAnsi="Calibri"/>
          <w:b/>
          <w:bCs/>
          <w:color w:val="1F3864"/>
          <w:sz w:val="24"/>
          <w:szCs w:val="24"/>
        </w:rPr>
        <w:t xml:space="preserve">You</w:t>
      </w:r>
    </w:p>
    <w:p>
      <w:pPr>
        <w:spacing w:after="120"/>
      </w:pPr>
      <w:r>
        <w:rPr>
          <w:rFonts w:ascii="Calibri" w:cs="Calibri" w:eastAsia="Calibri" w:hAnsi="Calibri"/>
          <w:sz w:val="22"/>
          <w:szCs w:val="22"/>
        </w:rPr>
        <w:t xml:space="preserve">can you make a doc file of this whole chat</w:t>
      </w:r>
    </w:p>
    <w:p>
      <w:pPr>
        <w:pBdr>
          <w:bottom w:val="single" w:color="2E7D32" w:sz="4"/>
        </w:pBdr>
        <w:spacing w:after="80" w:before="240"/>
      </w:pPr>
      <w:r>
        <w:rPr>
          <w:rFonts w:ascii="Calibri" w:cs="Calibri" w:eastAsia="Calibri" w:hAnsi="Calibri"/>
          <w:b/>
          <w:bCs/>
          <w:color w:val="2E7D32"/>
          <w:sz w:val="24"/>
          <w:szCs w:val="24"/>
        </w:rPr>
        <w:t xml:space="preserve">Claude</w:t>
      </w:r>
    </w:p>
    <w:p>
      <w:pPr>
        <w:spacing w:after="120"/>
      </w:pPr>
      <w:r>
        <w:rPr>
          <w:rFonts w:ascii="Calibri" w:cs="Calibri" w:eastAsia="Calibri" w:hAnsi="Calibri"/>
          <w:sz w:val="22"/>
          <w:szCs w:val="22"/>
        </w:rPr>
        <w:t xml:space="preserve">This document.</w:t>
      </w:r>
    </w:p>
    <w:p>
      <w:pPr>
        <w:pageBreakBefore/>
        <w:spacing w:after="120"/>
      </w:pPr>
      <w:r>
        <w:rPr>
          <w:rFonts w:ascii="Calibri" w:cs="Calibri" w:eastAsia="Calibri" w:hAnsi="Calibri"/>
          <w:b/>
          <w:bCs/>
          <w:color w:val="1F3864"/>
          <w:sz w:val="28"/>
          <w:szCs w:val="28"/>
        </w:rPr>
        <w:t xml:space="preserve">Appendix: Full Text of the Memo</w:t>
      </w:r>
    </w:p>
    <w:p>
      <w:pPr>
        <w:spacing w:after="120"/>
      </w:pPr>
      <w:r>
        <w:rPr>
          <w:rFonts w:ascii="Calibri" w:cs="Calibri" w:eastAsia="Calibri" w:hAnsi="Calibri"/>
          <w:b/>
          <w:bCs/>
          <w:sz w:val="22"/>
          <w:szCs w:val="22"/>
        </w:rPr>
        <w:t xml:space="preserve">MEMORANDUM</w:t>
      </w:r>
    </w:p>
    <w:p>
      <w:pPr>
        <w:spacing w:after="120"/>
      </w:pPr>
      <w:r>
        <w:rPr>
          <w:rFonts w:ascii="Calibri" w:cs="Calibri" w:eastAsia="Calibri" w:hAnsi="Calibri"/>
          <w:sz w:val="22"/>
          <w:szCs w:val="22"/>
        </w:rPr>
        <w:t xml:space="preserve">To: [Manager Name]</w:t>
      </w:r>
    </w:p>
    <w:p>
      <w:pPr>
        <w:spacing w:after="120"/>
      </w:pPr>
      <w:r>
        <w:rPr>
          <w:rFonts w:ascii="Calibri" w:cs="Calibri" w:eastAsia="Calibri" w:hAnsi="Calibri"/>
          <w:sz w:val="22"/>
          <w:szCs w:val="22"/>
        </w:rPr>
        <w:t xml:space="preserve">From: [Your Name / Category &amp; Merchandising Analytics]</w:t>
      </w:r>
    </w:p>
    <w:p>
      <w:pPr>
        <w:spacing w:after="120"/>
      </w:pPr>
      <w:r>
        <w:rPr>
          <w:rFonts w:ascii="Calibri" w:cs="Calibri" w:eastAsia="Calibri" w:hAnsi="Calibri"/>
          <w:sz w:val="22"/>
          <w:szCs w:val="22"/>
        </w:rPr>
        <w:t xml:space="preserve">Date: September 26, 2026</w:t>
      </w:r>
    </w:p>
    <w:p>
      <w:pPr>
        <w:spacing w:after="120"/>
      </w:pPr>
      <w:r>
        <w:rPr>
          <w:rFonts w:ascii="Calibri" w:cs="Calibri" w:eastAsia="Calibri" w:hAnsi="Calibri"/>
          <w:sz w:val="22"/>
          <w:szCs w:val="22"/>
        </w:rPr>
        <w:t xml:space="preserve">Re: U.S. Avocado Market Trends — 2025 vs. 2026 Year-to-Date</w:t>
      </w:r>
    </w:p>
    <w:p>
      <w:pPr>
        <w:spacing w:after="80" w:before="160"/>
      </w:pPr>
      <w:r>
        <w:rPr>
          <w:rFonts w:ascii="Calibri" w:cs="Calibri" w:eastAsia="Calibri" w:hAnsi="Calibri"/>
          <w:b/>
          <w:bCs/>
          <w:color w:val="1F3864"/>
          <w:sz w:val="22"/>
          <w:szCs w:val="22"/>
        </w:rPr>
        <w:t xml:space="preserve">Purpose</w:t>
      </w:r>
    </w:p>
    <w:p>
      <w:pPr>
        <w:spacing w:after="120"/>
      </w:pPr>
      <w:r>
        <w:rPr>
          <w:rFonts w:ascii="Calibri" w:cs="Calibri" w:eastAsia="Calibri" w:hAnsi="Calibri"/>
          <w:sz w:val="22"/>
          <w:szCs w:val="22"/>
        </w:rPr>
        <w:t xml:space="preserve">This memo summarizes U.S. retail avocado market trends using Hass Avocado Board weekly scan data for full-year 2025 and the first 32 comparable weeks of 2026 (through the week ending August 9). It compares volume, pricing, and the organic segment to inform category planning and pricing conversations.</w:t>
      </w:r>
    </w:p>
    <w:p>
      <w:pPr>
        <w:spacing w:after="80" w:before="160"/>
      </w:pPr>
      <w:r>
        <w:rPr>
          <w:rFonts w:ascii="Calibri" w:cs="Calibri" w:eastAsia="Calibri" w:hAnsi="Calibri"/>
          <w:b/>
          <w:bCs/>
          <w:color w:val="1F3864"/>
          <w:sz w:val="22"/>
          <w:szCs w:val="22"/>
        </w:rPr>
        <w:t xml:space="preserve">Headline Takeaway</w:t>
      </w:r>
    </w:p>
    <w:p>
      <w:pPr>
        <w:spacing w:after="120"/>
      </w:pPr>
      <w:r>
        <w:rPr>
          <w:rFonts w:ascii="Calibri" w:cs="Calibri" w:eastAsia="Calibri" w:hAnsi="Calibri"/>
          <w:sz w:val="22"/>
          <w:szCs w:val="22"/>
        </w:rPr>
        <w:t xml:space="preserve">2026 opened with a conventional-avocado supply surge that pushed prices well below 2025 levels, but that gap has been closing steadily since June as volume growth cools and prices climb back toward last year's range. Organic has been flat to slightly down and continues to lose share of the total category.</w:t>
      </w:r>
    </w:p>
    <w:p>
      <w:pPr>
        <w:spacing w:after="80" w:before="160"/>
      </w:pPr>
      <w:r>
        <w:rPr>
          <w:rFonts w:ascii="Calibri" w:cs="Calibri" w:eastAsia="Calibri" w:hAnsi="Calibri"/>
          <w:b/>
          <w:bCs/>
          <w:color w:val="1F3864"/>
          <w:sz w:val="22"/>
          <w:szCs w:val="22"/>
        </w:rPr>
        <w:t xml:space="preserve">1. Conventional Volume Is Up, but Growth Is Decelerating</w:t>
      </w:r>
    </w:p>
    <w:p>
      <w:pPr>
        <w:spacing w:after="120"/>
      </w:pPr>
      <w:r>
        <w:rPr>
          <w:rFonts w:ascii="Calibri" w:cs="Calibri" w:eastAsia="Calibri" w:hAnsi="Calibri"/>
          <w:sz w:val="22"/>
          <w:szCs w:val="22"/>
        </w:rPr>
        <w:t xml:space="preserve">Weekly conventional volume ran well ahead of 2025 for most of the first five months of 2026 — often 15–20% above the prior year's comparable week, peaking near 77M lbs. in early February versus roughly 68M lbs. at 2025's peak. Since June, however, weekly volume has fallen back to the 54–58M lb. range, converging with 2025's pace. The full 32-week volume gain (+14.5%) is therefore front-loaded; the most recent 8 weeks show volume roughly flat year-over-year.</w:t>
      </w:r>
    </w:p>
    <w:p>
      <w:pPr>
        <w:spacing w:after="80" w:before="160"/>
      </w:pPr>
      <w:r>
        <w:rPr>
          <w:rFonts w:ascii="Calibri" w:cs="Calibri" w:eastAsia="Calibri" w:hAnsi="Calibri"/>
          <w:b/>
          <w:bCs/>
          <w:color w:val="1F3864"/>
          <w:sz w:val="22"/>
          <w:szCs w:val="22"/>
        </w:rPr>
        <w:t xml:space="preserve">2. Prices Cratered Early, Then Recovered Sharply</w:t>
      </w:r>
    </w:p>
    <w:p>
      <w:pPr>
        <w:spacing w:after="120"/>
      </w:pPr>
      <w:r>
        <w:rPr>
          <w:rFonts w:ascii="Calibri" w:cs="Calibri" w:eastAsia="Calibri" w:hAnsi="Calibri"/>
          <w:sz w:val="22"/>
          <w:szCs w:val="22"/>
        </w:rPr>
        <w:t xml:space="preserve">Conventional average selling price (ASP) opened 2026 near $0.90–$0.95/lb., roughly 20–25% below the same weeks in 2025 ($1.13–$1.31/lb.), consistent with the early-year oversupply. Beginning in June, ASP rose quickly — from about $0.97 in late May to a 2026 high of $1.19 in late June — before easing back to $1.06–$1.08 through late July and early August. The 19.4% YTD price decline masks this reversal: the most recent weeks are within roughly 5–10% of 2025 pricing, not 20% below it.</w:t>
      </w:r>
    </w:p>
    <w:p>
      <w:pPr>
        <w:spacing w:after="80" w:before="160"/>
      </w:pPr>
      <w:r>
        <w:rPr>
          <w:rFonts w:ascii="Calibri" w:cs="Calibri" w:eastAsia="Calibri" w:hAnsi="Calibri"/>
          <w:b/>
          <w:bCs/>
          <w:color w:val="1F3864"/>
          <w:sz w:val="22"/>
          <w:szCs w:val="22"/>
        </w:rPr>
        <w:t xml:space="preserve">3. Organic Remains a Small, Shrinking Slice of the Category</w:t>
      </w:r>
    </w:p>
    <w:p>
      <w:pPr>
        <w:spacing w:after="120"/>
      </w:pPr>
      <w:r>
        <w:rPr>
          <w:rFonts w:ascii="Calibri" w:cs="Calibri" w:eastAsia="Calibri" w:hAnsi="Calibri"/>
          <w:sz w:val="22"/>
          <w:szCs w:val="22"/>
        </w:rPr>
        <w:t xml:space="preserve">Organic volume was essentially flat (–0.7%) while conventional volume rose 14.5%, so organic's share of total category volume slipped from 5.7% to 4.9%. Organic ASP fell 10.3% to $1.56/lb., a smaller decline than conventional's, so the organic price premium over conventional actually widened (from roughly 43% to about 59% of conventional price).</w:t>
      </w:r>
    </w:p>
    <w:p>
      <w:pPr>
        <w:spacing w:after="80" w:before="160"/>
      </w:pPr>
      <w:r>
        <w:rPr>
          <w:rFonts w:ascii="Calibri" w:cs="Calibri" w:eastAsia="Calibri" w:hAnsi="Calibri"/>
          <w:b/>
          <w:bCs/>
          <w:color w:val="1F3864"/>
          <w:sz w:val="22"/>
          <w:szCs w:val="22"/>
        </w:rPr>
        <w:t xml:space="preserve">4. Mix Shift: More Bagged, Larger Fruit</w:t>
      </w:r>
    </w:p>
    <w:p>
      <w:pPr>
        <w:spacing w:after="120"/>
      </w:pPr>
      <w:r>
        <w:rPr>
          <w:rFonts w:ascii="Calibri" w:cs="Calibri" w:eastAsia="Calibri" w:hAnsi="Calibri"/>
          <w:sz w:val="22"/>
          <w:szCs w:val="22"/>
        </w:rPr>
        <w:t xml:space="preserve">Within conventional, the bagged share of volume rose from 39.5% to 41.3%, and larger fruit (PLU 4225) gained share (10.6% to 12.8%) while smaller fruit (PLU 4046) lost share (48.5% to 43.5%) — a pattern consistent with the early-2026 supply glut favoring larger, promotable fruit sizes.</w:t>
      </w:r>
    </w:p>
    <w:p>
      <w:pPr>
        <w:spacing w:after="80" w:before="160"/>
      </w:pPr>
      <w:r>
        <w:rPr>
          <w:rFonts w:ascii="Calibri" w:cs="Calibri" w:eastAsia="Calibri" w:hAnsi="Calibri"/>
          <w:b/>
          <w:bCs/>
          <w:color w:val="1F3864"/>
          <w:sz w:val="22"/>
          <w:szCs w:val="22"/>
        </w:rPr>
        <w:t xml:space="preserve">Implications &amp; Recommendation</w:t>
      </w:r>
    </w:p>
    <w:p>
      <w:pPr>
        <w:pStyle w:val="ListParagraph"/>
        <w:numPr>
          <w:ilvl w:val="0"/>
          <w:numId w:val="2"/>
        </w:numPr>
        <w:spacing w:after="60"/>
      </w:pPr>
      <w:r>
        <w:rPr>
          <w:rFonts w:ascii="Calibri" w:cs="Calibri" w:eastAsia="Calibri" w:hAnsi="Calibri"/>
          <w:sz w:val="22"/>
          <w:szCs w:val="22"/>
        </w:rPr>
        <w:t xml:space="preserve">Treat the 14.5% YTD volume gain and 19.4% price decline as a first-half story, not the current run-rate; recent weeks show near-flat volume and a materially smaller price gap versus 2025.</w:t>
      </w:r>
    </w:p>
    <w:p>
      <w:pPr>
        <w:pStyle w:val="ListParagraph"/>
        <w:numPr>
          <w:ilvl w:val="0"/>
          <w:numId w:val="2"/>
        </w:numPr>
        <w:spacing w:after="60"/>
      </w:pPr>
      <w:r>
        <w:rPr>
          <w:rFonts w:ascii="Calibri" w:cs="Calibri" w:eastAsia="Calibri" w:hAnsi="Calibri"/>
          <w:sz w:val="22"/>
          <w:szCs w:val="22"/>
        </w:rPr>
        <w:t xml:space="preserve">Expect continued price firming into late summer/fall as 2026 supply normalizes toward 2025 levels — build replenishment and promo-pricing plans around $1.05–$1.15/lb. rather than early-year lows.</w:t>
      </w:r>
    </w:p>
    <w:p>
      <w:pPr>
        <w:pStyle w:val="ListParagraph"/>
        <w:numPr>
          <w:ilvl w:val="0"/>
          <w:numId w:val="2"/>
        </w:numPr>
        <w:spacing w:after="60"/>
      </w:pPr>
      <w:r>
        <w:rPr>
          <w:rFonts w:ascii="Calibri" w:cs="Calibri" w:eastAsia="Calibri" w:hAnsi="Calibri"/>
          <w:sz w:val="22"/>
          <w:szCs w:val="22"/>
        </w:rPr>
        <w:t xml:space="preserve">Organic's shrinking share and widening premium warrant a review of organic shelf space and pricing strategy at the next category review.</w:t>
      </w:r>
    </w:p>
    <w:p>
      <w:pPr>
        <w:spacing w:after="120"/>
      </w:pPr>
      <w:r>
        <w:rPr>
          <w:rFonts w:ascii="Calibri" w:cs="Calibri" w:eastAsia="Calibri" w:hAnsi="Calibri"/>
          <w:i/>
          <w:iCs/>
          <w:sz w:val="22"/>
          <w:szCs w:val="22"/>
        </w:rPr>
        <w:t xml:space="preserve">Happy to walk through the underlying weekly data or extend this analysis to specific regions on request.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2026-09-28T03:00:57.734Z</dcterms:created>
  <dcterms:modified xsi:type="dcterms:W3CDTF">2026-09-28T03:00:57.742Z</dcterms:modified>
</cp:coreProperties>
</file>

<file path=docProps/custom.xml><?xml version="1.0" encoding="utf-8"?>
<Properties xmlns="http://schemas.openxmlformats.org/officeDocument/2006/custom-properties" xmlns:vt="http://schemas.openxmlformats.org/officeDocument/2006/docPropsVTypes"/>
</file>