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57ABD" w:rsidRDefault="00ED1D80">
      <w:pPr>
        <w:widowControl w:val="0"/>
        <w:pBdr>
          <w:top w:val="nil"/>
          <w:left w:val="nil"/>
          <w:bottom w:val="nil"/>
          <w:right w:val="nil"/>
          <w:between w:val="nil"/>
        </w:pBdr>
        <w:jc w:val="center"/>
        <w:rPr>
          <w:rFonts w:ascii="Source Sans Pro" w:eastAsia="Source Sans Pro" w:hAnsi="Source Sans Pro" w:cs="Source Sans Pro"/>
          <w:color w:val="2A676A"/>
          <w:sz w:val="72"/>
          <w:szCs w:val="72"/>
        </w:rPr>
      </w:pPr>
      <w:r>
        <w:rPr>
          <w:rFonts w:ascii="Arial" w:eastAsia="Arial" w:hAnsi="Arial" w:cs="Arial"/>
          <w:b/>
          <w:noProof/>
          <w:sz w:val="20"/>
          <w:szCs w:val="20"/>
        </w:rPr>
        <w:drawing>
          <wp:inline distT="0" distB="0" distL="0" distR="0">
            <wp:extent cx="6289754" cy="1580288"/>
            <wp:effectExtent l="0" t="0" r="0" b="0"/>
            <wp:docPr id="2" name="image3.jpg" descr="../Desktop/RECOVERYwiki/RECOVERY_LinkedIn_Pict/linkedIn_Profil_Banner.jpg"/>
            <wp:cNvGraphicFramePr/>
            <a:graphic xmlns:a="http://schemas.openxmlformats.org/drawingml/2006/main">
              <a:graphicData uri="http://schemas.openxmlformats.org/drawingml/2006/picture">
                <pic:pic xmlns:pic="http://schemas.openxmlformats.org/drawingml/2006/picture">
                  <pic:nvPicPr>
                    <pic:cNvPr id="0" name="image3.jpg" descr="../Desktop/RECOVERYwiki/RECOVERY_LinkedIn_Pict/linkedIn_Profil_Banner.jpg"/>
                    <pic:cNvPicPr preferRelativeResize="0"/>
                  </pic:nvPicPr>
                  <pic:blipFill>
                    <a:blip r:embed="rId7"/>
                    <a:srcRect/>
                    <a:stretch>
                      <a:fillRect/>
                    </a:stretch>
                  </pic:blipFill>
                  <pic:spPr>
                    <a:xfrm>
                      <a:off x="0" y="0"/>
                      <a:ext cx="6289754" cy="1580288"/>
                    </a:xfrm>
                    <a:prstGeom prst="rect">
                      <a:avLst/>
                    </a:prstGeom>
                    <a:ln/>
                  </pic:spPr>
                </pic:pic>
              </a:graphicData>
            </a:graphic>
          </wp:inline>
        </w:drawing>
      </w:r>
    </w:p>
    <w:p w:rsidR="00457ABD" w:rsidRDefault="00ED1D80">
      <w:pPr>
        <w:widowControl w:val="0"/>
        <w:pBdr>
          <w:top w:val="nil"/>
          <w:left w:val="nil"/>
          <w:bottom w:val="nil"/>
          <w:right w:val="nil"/>
          <w:between w:val="nil"/>
        </w:pBdr>
        <w:jc w:val="right"/>
        <w:rPr>
          <w:rFonts w:ascii="Source Sans Pro" w:eastAsia="Source Sans Pro" w:hAnsi="Source Sans Pro" w:cs="Source Sans Pro"/>
          <w:color w:val="2A676A"/>
          <w:sz w:val="72"/>
          <w:szCs w:val="72"/>
        </w:rPr>
      </w:pPr>
      <w:r>
        <w:rPr>
          <w:rFonts w:ascii="Source Sans Pro" w:eastAsia="Source Sans Pro" w:hAnsi="Source Sans Pro" w:cs="Source Sans Pro"/>
          <w:color w:val="2A676A"/>
          <w:sz w:val="72"/>
          <w:szCs w:val="72"/>
        </w:rPr>
        <w:t xml:space="preserve"> « ReCOVery : construisons les entreprises de demain »</w:t>
      </w:r>
    </w:p>
    <w:p w:rsidR="00457ABD" w:rsidRDefault="00ED1D80">
      <w:pPr>
        <w:widowControl w:val="0"/>
        <w:jc w:val="right"/>
        <w:rPr>
          <w:rFonts w:ascii="Source Sans Pro" w:eastAsia="Source Sans Pro" w:hAnsi="Source Sans Pro" w:cs="Source Sans Pro"/>
          <w:color w:val="2A676A"/>
          <w:sz w:val="72"/>
          <w:szCs w:val="72"/>
        </w:rPr>
      </w:pPr>
      <w:r>
        <w:rPr>
          <w:rFonts w:ascii="Source Sans Pro" w:eastAsia="Source Sans Pro" w:hAnsi="Source Sans Pro" w:cs="Source Sans Pro"/>
          <w:b/>
          <w:noProof/>
          <w:color w:val="2A676A"/>
          <w:sz w:val="20"/>
          <w:szCs w:val="20"/>
        </w:rPr>
        <w:drawing>
          <wp:inline distT="0" distB="0" distL="0" distR="0">
            <wp:extent cx="542062" cy="542925"/>
            <wp:effectExtent l="0" t="0" r="0" b="0"/>
            <wp:docPr id="1" name="image1.png" descr="../Desktop/RECOVERYwiki/BULLETS%20DECO_horizon.png"/>
            <wp:cNvGraphicFramePr/>
            <a:graphic xmlns:a="http://schemas.openxmlformats.org/drawingml/2006/main">
              <a:graphicData uri="http://schemas.openxmlformats.org/drawingml/2006/picture">
                <pic:pic xmlns:pic="http://schemas.openxmlformats.org/drawingml/2006/picture">
                  <pic:nvPicPr>
                    <pic:cNvPr id="0" name="image1.png" descr="../Desktop/RECOVERYwiki/BULLETS%20DECO_horizon.png"/>
                    <pic:cNvPicPr preferRelativeResize="0"/>
                  </pic:nvPicPr>
                  <pic:blipFill>
                    <a:blip r:embed="rId8"/>
                    <a:srcRect/>
                    <a:stretch>
                      <a:fillRect/>
                    </a:stretch>
                  </pic:blipFill>
                  <pic:spPr>
                    <a:xfrm>
                      <a:off x="0" y="0"/>
                      <a:ext cx="542062" cy="542925"/>
                    </a:xfrm>
                    <a:prstGeom prst="rect">
                      <a:avLst/>
                    </a:prstGeom>
                    <a:ln/>
                  </pic:spPr>
                </pic:pic>
              </a:graphicData>
            </a:graphic>
          </wp:inline>
        </w:drawing>
      </w:r>
    </w:p>
    <w:p w:rsidR="00457ABD" w:rsidRDefault="00ED1D80">
      <w:pPr>
        <w:widowControl w:val="0"/>
        <w:pBdr>
          <w:top w:val="nil"/>
          <w:left w:val="nil"/>
          <w:bottom w:val="nil"/>
          <w:right w:val="nil"/>
          <w:between w:val="nil"/>
        </w:pBdr>
        <w:jc w:val="right"/>
        <w:rPr>
          <w:rFonts w:ascii="Source Sans Pro" w:eastAsia="Source Sans Pro" w:hAnsi="Source Sans Pro" w:cs="Source Sans Pro"/>
          <w:color w:val="2A676A"/>
          <w:sz w:val="72"/>
          <w:szCs w:val="72"/>
        </w:rPr>
      </w:pPr>
      <w:r>
        <w:rPr>
          <w:rFonts w:ascii="Source Sans Pro" w:eastAsia="Source Sans Pro" w:hAnsi="Source Sans Pro" w:cs="Source Sans Pro"/>
          <w:color w:val="2A676A"/>
          <w:sz w:val="72"/>
          <w:szCs w:val="72"/>
        </w:rPr>
        <w:t>Synthèse</w:t>
      </w:r>
    </w:p>
    <w:p w:rsidR="00457ABD" w:rsidRDefault="00457ABD">
      <w:pPr>
        <w:widowControl w:val="0"/>
        <w:pBdr>
          <w:top w:val="nil"/>
          <w:left w:val="nil"/>
          <w:bottom w:val="nil"/>
          <w:right w:val="nil"/>
          <w:between w:val="nil"/>
        </w:pBdr>
        <w:rPr>
          <w:rFonts w:ascii="Source Sans Pro" w:eastAsia="Source Sans Pro" w:hAnsi="Source Sans Pro" w:cs="Source Sans Pro"/>
          <w:b/>
          <w:color w:val="2A676A"/>
          <w:sz w:val="28"/>
          <w:szCs w:val="28"/>
        </w:rPr>
      </w:pPr>
    </w:p>
    <w:sdt>
      <w:sdtPr>
        <w:id w:val="806512947"/>
        <w:docPartObj>
          <w:docPartGallery w:val="Table of Contents"/>
          <w:docPartUnique/>
        </w:docPartObj>
      </w:sdtPr>
      <w:sdtEndPr/>
      <w:sdtContent>
        <w:p w:rsidR="00457ABD" w:rsidRDefault="00ED1D80">
          <w:pPr>
            <w:tabs>
              <w:tab w:val="right" w:pos="9642"/>
            </w:tabs>
          </w:pPr>
          <w:r>
            <w:fldChar w:fldCharType="begin"/>
          </w:r>
          <w:r>
            <w:instrText xml:space="preserve"> TOC \h \u \z </w:instrText>
          </w:r>
          <w:r>
            <w:fldChar w:fldCharType="end"/>
          </w:r>
        </w:p>
      </w:sdtContent>
    </w:sdt>
    <w:p w:rsidR="00457ABD" w:rsidRDefault="00ED1D80">
      <w:pPr>
        <w:widowControl w:val="0"/>
        <w:pBdr>
          <w:top w:val="nil"/>
          <w:left w:val="nil"/>
          <w:bottom w:val="nil"/>
          <w:right w:val="nil"/>
          <w:between w:val="nil"/>
        </w:pBdr>
        <w:rPr>
          <w:rFonts w:ascii="Source Sans Pro" w:eastAsia="Source Sans Pro" w:hAnsi="Source Sans Pro" w:cs="Source Sans Pro"/>
          <w:b/>
          <w:color w:val="2A676A"/>
          <w:sz w:val="28"/>
          <w:szCs w:val="28"/>
        </w:rPr>
      </w:pPr>
      <w:r>
        <w:rPr>
          <w:rFonts w:ascii="Source Sans Pro" w:eastAsia="Source Sans Pro" w:hAnsi="Source Sans Pro" w:cs="Source Sans Pro"/>
          <w:b/>
          <w:color w:val="2A676A"/>
          <w:sz w:val="28"/>
          <w:szCs w:val="28"/>
        </w:rPr>
        <w:t>Pendant 31 jours, l</w:t>
      </w:r>
      <w:r>
        <w:rPr>
          <w:rFonts w:ascii="Source Sans Pro" w:eastAsia="Source Sans Pro" w:hAnsi="Source Sans Pro" w:cs="Source Sans Pro"/>
          <w:b/>
          <w:color w:val="2A676A"/>
          <w:sz w:val="28"/>
          <w:szCs w:val="28"/>
        </w:rPr>
        <w:t xml:space="preserve">’initiative Recovery a proposé aux Français, </w:t>
      </w:r>
      <w:r>
        <w:rPr>
          <w:rFonts w:ascii="Source Sans Pro" w:eastAsia="Source Sans Pro" w:hAnsi="Source Sans Pro" w:cs="Source Sans Pro"/>
          <w:b/>
          <w:color w:val="2A676A"/>
          <w:sz w:val="28"/>
          <w:szCs w:val="28"/>
        </w:rPr>
        <w:t>et en particulier aux responsables dans les entreprises, d’échanger ensemble afin de faire émerger des pistes pour un redémarrage j</w:t>
      </w:r>
      <w:r>
        <w:rPr>
          <w:rFonts w:ascii="Source Sans Pro" w:eastAsia="Source Sans Pro" w:hAnsi="Source Sans Pro" w:cs="Source Sans Pro"/>
          <w:b/>
          <w:color w:val="2A676A"/>
          <w:sz w:val="28"/>
          <w:szCs w:val="28"/>
        </w:rPr>
        <w:t>uste et durable de l</w:t>
      </w:r>
      <w:r>
        <w:rPr>
          <w:rFonts w:ascii="Source Sans Pro" w:eastAsia="Source Sans Pro" w:hAnsi="Source Sans Pro" w:cs="Source Sans Pro"/>
          <w:b/>
          <w:color w:val="2A676A"/>
          <w:sz w:val="28"/>
          <w:szCs w:val="28"/>
        </w:rPr>
        <w:t>’économie</w:t>
      </w:r>
      <w:r>
        <w:rPr>
          <w:rFonts w:ascii="Source Sans Pro" w:eastAsia="Source Sans Pro" w:hAnsi="Source Sans Pro" w:cs="Source Sans Pro"/>
          <w:b/>
          <w:color w:val="2A676A"/>
          <w:sz w:val="28"/>
          <w:szCs w:val="28"/>
        </w:rPr>
        <w:t xml:space="preserve">. </w:t>
      </w:r>
    </w:p>
    <w:p w:rsidR="00457ABD" w:rsidRDefault="00457ABD">
      <w:pPr>
        <w:widowControl w:val="0"/>
        <w:pBdr>
          <w:top w:val="nil"/>
          <w:left w:val="nil"/>
          <w:bottom w:val="nil"/>
          <w:right w:val="nil"/>
          <w:between w:val="nil"/>
        </w:pBdr>
        <w:rPr>
          <w:rFonts w:ascii="Source Sans Pro" w:eastAsia="Source Sans Pro" w:hAnsi="Source Sans Pro" w:cs="Source Sans Pro"/>
          <w:b/>
          <w:color w:val="2A676A"/>
        </w:rPr>
      </w:pPr>
    </w:p>
    <w:p w:rsidR="00457ABD" w:rsidRDefault="00ED1D80">
      <w:pPr>
        <w:rPr>
          <w:rFonts w:ascii="Source Sans Pro" w:eastAsia="Source Sans Pro" w:hAnsi="Source Sans Pro" w:cs="Source Sans Pro"/>
          <w:b/>
          <w:color w:val="2A676A"/>
          <w:sz w:val="22"/>
          <w:szCs w:val="22"/>
        </w:rPr>
      </w:pPr>
      <w:r>
        <w:rPr>
          <w:rFonts w:ascii="Source Sans Pro" w:eastAsia="Source Sans Pro" w:hAnsi="Source Sans Pro" w:cs="Source Sans Pro"/>
          <w:b/>
          <w:color w:val="2A676A"/>
          <w:sz w:val="22"/>
          <w:szCs w:val="22"/>
        </w:rPr>
        <w:t>Au cours de ces semaines d’échanges, six débats ont été organisés et plus de 4 500 propositions, commentaires et “likes” ont été émis par les participants de cette démarche collaborative.</w:t>
      </w:r>
    </w:p>
    <w:p w:rsidR="00457ABD" w:rsidRDefault="00457ABD">
      <w:pPr>
        <w:jc w:val="both"/>
        <w:rPr>
          <w:rFonts w:ascii="Source Sans Pro" w:eastAsia="Source Sans Pro" w:hAnsi="Source Sans Pro" w:cs="Source Sans Pro"/>
          <w:color w:val="2A676A"/>
          <w:sz w:val="20"/>
          <w:szCs w:val="20"/>
        </w:rPr>
      </w:pPr>
    </w:p>
    <w:p w:rsidR="00457ABD" w:rsidRDefault="00ED1D80">
      <w:pPr>
        <w:pStyle w:val="Titre2"/>
        <w:numPr>
          <w:ilvl w:val="0"/>
          <w:numId w:val="5"/>
        </w:numPr>
        <w:jc w:val="both"/>
        <w:rPr>
          <w:sz w:val="36"/>
          <w:szCs w:val="36"/>
        </w:rPr>
      </w:pPr>
      <w:bookmarkStart w:id="0" w:name="_e7elnj4wlmof" w:colFirst="0" w:colLast="0"/>
      <w:bookmarkEnd w:id="0"/>
      <w:r>
        <w:rPr>
          <w:sz w:val="36"/>
          <w:szCs w:val="36"/>
        </w:rPr>
        <w:t xml:space="preserve">Les objectifs de l’initiative </w:t>
      </w:r>
    </w:p>
    <w:p w:rsidR="00457ABD" w:rsidRDefault="00457ABD">
      <w:pPr>
        <w:pBdr>
          <w:top w:val="nil"/>
          <w:left w:val="nil"/>
          <w:bottom w:val="nil"/>
          <w:right w:val="nil"/>
          <w:between w:val="nil"/>
        </w:pBdr>
        <w:jc w:val="both"/>
        <w:rPr>
          <w:rFonts w:ascii="Source Sans Pro" w:eastAsia="Source Sans Pro" w:hAnsi="Source Sans Pro" w:cs="Source Sans Pro"/>
          <w:color w:val="2A676A"/>
          <w:sz w:val="20"/>
          <w:szCs w:val="20"/>
        </w:rPr>
      </w:pPr>
    </w:p>
    <w:p w:rsidR="00457ABD" w:rsidRDefault="00ED1D80">
      <w:pPr>
        <w:pBdr>
          <w:top w:val="nil"/>
          <w:left w:val="nil"/>
          <w:bottom w:val="nil"/>
          <w:right w:val="nil"/>
          <w:between w:val="nil"/>
        </w:pBdr>
        <w:rPr>
          <w:rFonts w:ascii="Source Sans Pro" w:eastAsia="Source Sans Pro" w:hAnsi="Source Sans Pro" w:cs="Source Sans Pro"/>
          <w:color w:val="2A676A"/>
          <w:sz w:val="20"/>
          <w:szCs w:val="20"/>
        </w:rPr>
      </w:pPr>
      <w:r>
        <w:rPr>
          <w:rFonts w:ascii="Source Sans Pro" w:eastAsia="Source Sans Pro" w:hAnsi="Source Sans Pro" w:cs="Source Sans Pro"/>
          <w:color w:val="2A676A"/>
          <w:sz w:val="20"/>
          <w:szCs w:val="20"/>
        </w:rPr>
        <w:t>L’initiative Recovery est née d’un constat : la crise que le monde traverse atteint individus et acteurs économiques avec une puissance inédite, qui nécessite de repenser en profondeur nos modèles de développement sur la base de solutions concrètes et véri</w:t>
      </w:r>
      <w:r>
        <w:rPr>
          <w:rFonts w:ascii="Source Sans Pro" w:eastAsia="Source Sans Pro" w:hAnsi="Source Sans Pro" w:cs="Source Sans Pro"/>
          <w:color w:val="2A676A"/>
          <w:sz w:val="20"/>
          <w:szCs w:val="20"/>
        </w:rPr>
        <w:t xml:space="preserve">tablement actionnables. </w:t>
      </w:r>
    </w:p>
    <w:p w:rsidR="00457ABD" w:rsidRDefault="00457ABD">
      <w:pPr>
        <w:pBdr>
          <w:top w:val="nil"/>
          <w:left w:val="nil"/>
          <w:bottom w:val="nil"/>
          <w:right w:val="nil"/>
          <w:between w:val="nil"/>
        </w:pBdr>
        <w:rPr>
          <w:rFonts w:ascii="Source Sans Pro" w:eastAsia="Source Sans Pro" w:hAnsi="Source Sans Pro" w:cs="Source Sans Pro"/>
          <w:color w:val="2A676A"/>
          <w:sz w:val="20"/>
          <w:szCs w:val="20"/>
        </w:rPr>
      </w:pPr>
    </w:p>
    <w:p w:rsidR="00457ABD" w:rsidRDefault="00ED1D80">
      <w:pPr>
        <w:pBdr>
          <w:top w:val="nil"/>
          <w:left w:val="nil"/>
          <w:bottom w:val="nil"/>
          <w:right w:val="nil"/>
          <w:between w:val="nil"/>
        </w:pBdr>
        <w:rPr>
          <w:rFonts w:ascii="Source Sans Pro" w:eastAsia="Source Sans Pro" w:hAnsi="Source Sans Pro" w:cs="Source Sans Pro"/>
          <w:color w:val="2A676A"/>
          <w:sz w:val="20"/>
          <w:szCs w:val="20"/>
        </w:rPr>
      </w:pPr>
      <w:r>
        <w:rPr>
          <w:rFonts w:ascii="Source Sans Pro" w:eastAsia="Source Sans Pro" w:hAnsi="Source Sans Pro" w:cs="Source Sans Pro"/>
          <w:color w:val="2A676A"/>
          <w:sz w:val="20"/>
          <w:szCs w:val="20"/>
        </w:rPr>
        <w:t>En effet, si le gouvernement mobilise toutes ses ressources pour accompagner du mieux qu'il le peut cette séquence et la sortie de crise, les entreprises doivent prendre leur part de responsabilité pour permettre à l’économie de r</w:t>
      </w:r>
      <w:r>
        <w:rPr>
          <w:rFonts w:ascii="Source Sans Pro" w:eastAsia="Source Sans Pro" w:hAnsi="Source Sans Pro" w:cs="Source Sans Pro"/>
          <w:color w:val="2A676A"/>
          <w:sz w:val="20"/>
          <w:szCs w:val="20"/>
        </w:rPr>
        <w:t>éaliser cette mutation sociale et environnementale appelée de toutes parts depuis déjà des années, en réfléchissant à leurs pratiques, leurs politiques ESG, et plus largement à leur utilité sociétale.</w:t>
      </w:r>
    </w:p>
    <w:p w:rsidR="00457ABD" w:rsidRDefault="00457ABD">
      <w:pPr>
        <w:pBdr>
          <w:top w:val="nil"/>
          <w:left w:val="nil"/>
          <w:bottom w:val="nil"/>
          <w:right w:val="nil"/>
          <w:between w:val="nil"/>
        </w:pBdr>
        <w:rPr>
          <w:rFonts w:ascii="Source Sans Pro" w:eastAsia="Source Sans Pro" w:hAnsi="Source Sans Pro" w:cs="Source Sans Pro"/>
          <w:color w:val="2A676A"/>
          <w:sz w:val="20"/>
          <w:szCs w:val="20"/>
        </w:rPr>
      </w:pPr>
    </w:p>
    <w:p w:rsidR="00457ABD" w:rsidRDefault="00ED1D80">
      <w:pPr>
        <w:pBdr>
          <w:top w:val="nil"/>
          <w:left w:val="nil"/>
          <w:bottom w:val="nil"/>
          <w:right w:val="nil"/>
          <w:between w:val="nil"/>
        </w:pBdr>
        <w:rPr>
          <w:rFonts w:ascii="Source Sans Pro" w:eastAsia="Source Sans Pro" w:hAnsi="Source Sans Pro" w:cs="Source Sans Pro"/>
          <w:color w:val="2A676A"/>
          <w:sz w:val="20"/>
          <w:szCs w:val="20"/>
        </w:rPr>
      </w:pPr>
      <w:r>
        <w:rPr>
          <w:rFonts w:ascii="Source Sans Pro" w:eastAsia="Source Sans Pro" w:hAnsi="Source Sans Pro" w:cs="Source Sans Pro"/>
          <w:b/>
          <w:color w:val="2A676A"/>
          <w:sz w:val="20"/>
          <w:szCs w:val="20"/>
        </w:rPr>
        <w:t>L'initiative s’adresse donc avant tout aux entreprises</w:t>
      </w:r>
      <w:r>
        <w:rPr>
          <w:rFonts w:ascii="Source Sans Pro" w:eastAsia="Source Sans Pro" w:hAnsi="Source Sans Pro" w:cs="Source Sans Pro"/>
          <w:b/>
          <w:color w:val="2A676A"/>
          <w:sz w:val="20"/>
          <w:szCs w:val="20"/>
        </w:rPr>
        <w:t>,</w:t>
      </w:r>
      <w:r>
        <w:rPr>
          <w:rFonts w:ascii="Source Sans Pro" w:eastAsia="Source Sans Pro" w:hAnsi="Source Sans Pro" w:cs="Source Sans Pro"/>
          <w:color w:val="2A676A"/>
          <w:sz w:val="20"/>
          <w:szCs w:val="20"/>
        </w:rPr>
        <w:t xml:space="preserve"> afin que leurs dirigeants et </w:t>
      </w:r>
      <w:proofErr w:type="gramStart"/>
      <w:r>
        <w:rPr>
          <w:rFonts w:ascii="Source Sans Pro" w:eastAsia="Source Sans Pro" w:hAnsi="Source Sans Pro" w:cs="Source Sans Pro"/>
          <w:color w:val="2A676A"/>
          <w:sz w:val="20"/>
          <w:szCs w:val="20"/>
        </w:rPr>
        <w:t>responsables  prennent</w:t>
      </w:r>
      <w:proofErr w:type="gramEnd"/>
      <w:r>
        <w:rPr>
          <w:rFonts w:ascii="Source Sans Pro" w:eastAsia="Source Sans Pro" w:hAnsi="Source Sans Pro" w:cs="Source Sans Pro"/>
          <w:color w:val="2A676A"/>
          <w:sz w:val="20"/>
          <w:szCs w:val="20"/>
        </w:rPr>
        <w:t xml:space="preserve"> conscience qu’ils  ne doivent pas attendre le sauvetage public, mais qu’ils  doivent prendre leur destin en main, et définir  leurs  engagements pour inventer un nouveau modèle. Le Gouvernement et les d</w:t>
      </w:r>
      <w:r>
        <w:rPr>
          <w:rFonts w:ascii="Source Sans Pro" w:eastAsia="Source Sans Pro" w:hAnsi="Source Sans Pro" w:cs="Source Sans Pro"/>
          <w:color w:val="2A676A"/>
          <w:sz w:val="20"/>
          <w:szCs w:val="20"/>
        </w:rPr>
        <w:t>écideurs sont également invités à débattre et s’interroger.</w:t>
      </w:r>
    </w:p>
    <w:p w:rsidR="00457ABD" w:rsidRDefault="00457ABD">
      <w:pPr>
        <w:pBdr>
          <w:top w:val="nil"/>
          <w:left w:val="nil"/>
          <w:bottom w:val="nil"/>
          <w:right w:val="nil"/>
          <w:between w:val="nil"/>
        </w:pBdr>
        <w:rPr>
          <w:rFonts w:ascii="Source Sans Pro" w:eastAsia="Source Sans Pro" w:hAnsi="Source Sans Pro" w:cs="Source Sans Pro"/>
          <w:color w:val="2A676A"/>
          <w:sz w:val="20"/>
          <w:szCs w:val="20"/>
        </w:rPr>
      </w:pPr>
    </w:p>
    <w:p w:rsidR="00457ABD" w:rsidRDefault="00ED1D80">
      <w:pPr>
        <w:rPr>
          <w:rFonts w:ascii="Source Sans Pro" w:eastAsia="Source Sans Pro" w:hAnsi="Source Sans Pro" w:cs="Source Sans Pro"/>
          <w:color w:val="2A676A"/>
          <w:sz w:val="20"/>
          <w:szCs w:val="20"/>
        </w:rPr>
      </w:pPr>
      <w:r>
        <w:rPr>
          <w:rFonts w:ascii="Source Sans Pro" w:eastAsia="Source Sans Pro" w:hAnsi="Source Sans Pro" w:cs="Source Sans Pro"/>
          <w:color w:val="2A676A"/>
          <w:sz w:val="20"/>
          <w:szCs w:val="20"/>
        </w:rPr>
        <w:t>Ont pu y participer les entreprises, mais aussi les individus en tant que dirigeants, salariés, entrepreneurs, consommateurs.</w:t>
      </w:r>
    </w:p>
    <w:p w:rsidR="00457ABD" w:rsidRDefault="00457ABD">
      <w:pPr>
        <w:pBdr>
          <w:top w:val="nil"/>
          <w:left w:val="nil"/>
          <w:bottom w:val="nil"/>
          <w:right w:val="nil"/>
          <w:between w:val="nil"/>
        </w:pBdr>
        <w:jc w:val="both"/>
        <w:rPr>
          <w:rFonts w:ascii="Source Sans Pro" w:eastAsia="Source Sans Pro" w:hAnsi="Source Sans Pro" w:cs="Source Sans Pro"/>
          <w:color w:val="2A676A"/>
          <w:sz w:val="20"/>
          <w:szCs w:val="20"/>
        </w:rPr>
      </w:pPr>
    </w:p>
    <w:p w:rsidR="00457ABD" w:rsidRDefault="00ED1D80">
      <w:pPr>
        <w:pStyle w:val="Titre2"/>
        <w:numPr>
          <w:ilvl w:val="0"/>
          <w:numId w:val="5"/>
        </w:numPr>
        <w:rPr>
          <w:sz w:val="36"/>
          <w:szCs w:val="36"/>
        </w:rPr>
      </w:pPr>
      <w:bookmarkStart w:id="1" w:name="_westt9nsekm" w:colFirst="0" w:colLast="0"/>
      <w:bookmarkEnd w:id="1"/>
      <w:r>
        <w:rPr>
          <w:sz w:val="36"/>
          <w:szCs w:val="36"/>
        </w:rPr>
        <w:lastRenderedPageBreak/>
        <w:t>Les parties prenantes</w:t>
      </w:r>
    </w:p>
    <w:p w:rsidR="00457ABD" w:rsidRDefault="00457ABD">
      <w:pPr>
        <w:pBdr>
          <w:top w:val="nil"/>
          <w:left w:val="nil"/>
          <w:bottom w:val="nil"/>
          <w:right w:val="nil"/>
          <w:between w:val="nil"/>
        </w:pBdr>
        <w:jc w:val="both"/>
        <w:rPr>
          <w:rFonts w:ascii="Source Sans Pro" w:eastAsia="Source Sans Pro" w:hAnsi="Source Sans Pro" w:cs="Source Sans Pro"/>
          <w:color w:val="2A676A"/>
          <w:sz w:val="20"/>
          <w:szCs w:val="20"/>
        </w:rPr>
      </w:pPr>
    </w:p>
    <w:p w:rsidR="00457ABD" w:rsidRDefault="00ED1D80">
      <w:pPr>
        <w:pBdr>
          <w:top w:val="nil"/>
          <w:left w:val="nil"/>
          <w:bottom w:val="nil"/>
          <w:right w:val="nil"/>
          <w:between w:val="nil"/>
        </w:pBdr>
        <w:jc w:val="both"/>
        <w:rPr>
          <w:rFonts w:ascii="Arial" w:eastAsia="Arial" w:hAnsi="Arial" w:cs="Arial"/>
          <w:sz w:val="20"/>
          <w:szCs w:val="20"/>
        </w:rPr>
      </w:pPr>
      <w:proofErr w:type="gramStart"/>
      <w:r>
        <w:rPr>
          <w:rFonts w:ascii="Source Sans Pro" w:eastAsia="Source Sans Pro" w:hAnsi="Source Sans Pro" w:cs="Source Sans Pro"/>
          <w:color w:val="2A676A"/>
          <w:sz w:val="20"/>
          <w:szCs w:val="20"/>
        </w:rPr>
        <w:t>Initié  par</w:t>
      </w:r>
      <w:proofErr w:type="gramEnd"/>
      <w:r>
        <w:rPr>
          <w:rFonts w:ascii="Source Sans Pro" w:eastAsia="Source Sans Pro" w:hAnsi="Source Sans Pro" w:cs="Source Sans Pro"/>
          <w:color w:val="2A676A"/>
          <w:sz w:val="20"/>
          <w:szCs w:val="20"/>
        </w:rPr>
        <w:t xml:space="preserve"> </w:t>
      </w:r>
      <w:r>
        <w:rPr>
          <w:rFonts w:ascii="Source Sans Pro" w:eastAsia="Source Sans Pro" w:hAnsi="Source Sans Pro" w:cs="Source Sans Pro"/>
          <w:b/>
          <w:color w:val="2A676A"/>
          <w:sz w:val="20"/>
          <w:szCs w:val="20"/>
        </w:rPr>
        <w:t>Fabernovel</w:t>
      </w:r>
      <w:r>
        <w:rPr>
          <w:rFonts w:ascii="Source Sans Pro" w:eastAsia="Source Sans Pro" w:hAnsi="Source Sans Pro" w:cs="Source Sans Pro"/>
          <w:color w:val="2A676A"/>
          <w:sz w:val="20"/>
          <w:szCs w:val="20"/>
        </w:rPr>
        <w:t xml:space="preserve"> et </w:t>
      </w:r>
      <w:r>
        <w:rPr>
          <w:rFonts w:ascii="Source Sans Pro" w:eastAsia="Source Sans Pro" w:hAnsi="Source Sans Pro" w:cs="Source Sans Pro"/>
          <w:b/>
          <w:color w:val="2A676A"/>
          <w:sz w:val="20"/>
          <w:szCs w:val="20"/>
        </w:rPr>
        <w:t>Mirova</w:t>
      </w:r>
      <w:r>
        <w:rPr>
          <w:rFonts w:ascii="Source Sans Pro" w:eastAsia="Source Sans Pro" w:hAnsi="Source Sans Pro" w:cs="Source Sans Pro"/>
          <w:color w:val="2A676A"/>
          <w:sz w:val="20"/>
          <w:szCs w:val="20"/>
        </w:rPr>
        <w:t>, Recovery es</w:t>
      </w:r>
      <w:r>
        <w:rPr>
          <w:rFonts w:ascii="Source Sans Pro" w:eastAsia="Source Sans Pro" w:hAnsi="Source Sans Pro" w:cs="Source Sans Pro"/>
          <w:color w:val="2A676A"/>
          <w:sz w:val="20"/>
          <w:szCs w:val="20"/>
        </w:rPr>
        <w:t>t soutenue par les réseaux ayant déjà entamé une réflexion sur la durabilité de leur modèle</w:t>
      </w:r>
      <w:r>
        <w:rPr>
          <w:rFonts w:ascii="Arial" w:eastAsia="Arial" w:hAnsi="Arial" w:cs="Arial"/>
          <w:sz w:val="20"/>
          <w:szCs w:val="20"/>
        </w:rPr>
        <w:t xml:space="preserve"> :</w:t>
      </w:r>
    </w:p>
    <w:p w:rsidR="00457ABD" w:rsidRDefault="00ED1D80">
      <w:pPr>
        <w:numPr>
          <w:ilvl w:val="0"/>
          <w:numId w:val="1"/>
        </w:numPr>
        <w:jc w:val="both"/>
        <w:rPr>
          <w:rFonts w:ascii="Source Sans Pro" w:eastAsia="Source Sans Pro" w:hAnsi="Source Sans Pro" w:cs="Source Sans Pro"/>
          <w:color w:val="2A676A"/>
          <w:sz w:val="20"/>
          <w:szCs w:val="20"/>
        </w:rPr>
      </w:pPr>
      <w:hyperlink r:id="rId9">
        <w:r>
          <w:rPr>
            <w:rFonts w:ascii="Source Sans Pro" w:eastAsia="Source Sans Pro" w:hAnsi="Source Sans Pro" w:cs="Source Sans Pro"/>
            <w:color w:val="1155CC"/>
            <w:sz w:val="20"/>
            <w:szCs w:val="20"/>
            <w:u w:val="single"/>
          </w:rPr>
          <w:t>Ashoka</w:t>
        </w:r>
      </w:hyperlink>
    </w:p>
    <w:p w:rsidR="00457ABD" w:rsidRDefault="00ED1D80">
      <w:pPr>
        <w:numPr>
          <w:ilvl w:val="0"/>
          <w:numId w:val="1"/>
        </w:numPr>
        <w:pBdr>
          <w:top w:val="nil"/>
          <w:left w:val="nil"/>
          <w:bottom w:val="nil"/>
          <w:right w:val="nil"/>
          <w:between w:val="nil"/>
        </w:pBdr>
        <w:jc w:val="both"/>
        <w:rPr>
          <w:rFonts w:ascii="Source Sans Pro" w:eastAsia="Source Sans Pro" w:hAnsi="Source Sans Pro" w:cs="Source Sans Pro"/>
          <w:color w:val="2A676A"/>
          <w:sz w:val="20"/>
          <w:szCs w:val="20"/>
        </w:rPr>
      </w:pPr>
      <w:hyperlink r:id="rId10">
        <w:r>
          <w:rPr>
            <w:rFonts w:ascii="Source Sans Pro" w:eastAsia="Source Sans Pro" w:hAnsi="Source Sans Pro" w:cs="Source Sans Pro"/>
            <w:color w:val="1155CC"/>
            <w:sz w:val="20"/>
            <w:szCs w:val="20"/>
            <w:u w:val="single"/>
          </w:rPr>
          <w:t>B Lab France</w:t>
        </w:r>
      </w:hyperlink>
    </w:p>
    <w:p w:rsidR="00457ABD" w:rsidRDefault="00ED1D80">
      <w:pPr>
        <w:numPr>
          <w:ilvl w:val="0"/>
          <w:numId w:val="1"/>
        </w:numPr>
        <w:jc w:val="both"/>
        <w:rPr>
          <w:rFonts w:ascii="Source Sans Pro" w:eastAsia="Source Sans Pro" w:hAnsi="Source Sans Pro" w:cs="Source Sans Pro"/>
          <w:color w:val="2A676A"/>
          <w:sz w:val="20"/>
          <w:szCs w:val="20"/>
        </w:rPr>
      </w:pPr>
      <w:hyperlink r:id="rId11">
        <w:r>
          <w:rPr>
            <w:rFonts w:ascii="Source Sans Pro" w:eastAsia="Source Sans Pro" w:hAnsi="Source Sans Pro" w:cs="Source Sans Pro"/>
            <w:color w:val="1155CC"/>
            <w:sz w:val="20"/>
            <w:szCs w:val="20"/>
            <w:u w:val="single"/>
          </w:rPr>
          <w:t>BFM Business</w:t>
        </w:r>
      </w:hyperlink>
    </w:p>
    <w:p w:rsidR="00457ABD" w:rsidRDefault="00ED1D80">
      <w:pPr>
        <w:numPr>
          <w:ilvl w:val="0"/>
          <w:numId w:val="1"/>
        </w:numPr>
        <w:jc w:val="both"/>
        <w:rPr>
          <w:rFonts w:ascii="Source Sans Pro" w:eastAsia="Source Sans Pro" w:hAnsi="Source Sans Pro" w:cs="Source Sans Pro"/>
          <w:color w:val="2A676A"/>
          <w:sz w:val="20"/>
          <w:szCs w:val="20"/>
        </w:rPr>
      </w:pPr>
      <w:hyperlink r:id="rId12">
        <w:r>
          <w:rPr>
            <w:rFonts w:ascii="Source Sans Pro" w:eastAsia="Source Sans Pro" w:hAnsi="Source Sans Pro" w:cs="Source Sans Pro"/>
            <w:color w:val="1155CC"/>
            <w:sz w:val="20"/>
            <w:szCs w:val="20"/>
            <w:u w:val="single"/>
          </w:rPr>
          <w:t>Finance for Tomorrow</w:t>
        </w:r>
      </w:hyperlink>
    </w:p>
    <w:p w:rsidR="00457ABD" w:rsidRDefault="00ED1D80">
      <w:pPr>
        <w:numPr>
          <w:ilvl w:val="0"/>
          <w:numId w:val="1"/>
        </w:numPr>
        <w:jc w:val="both"/>
        <w:rPr>
          <w:rFonts w:ascii="Source Sans Pro" w:eastAsia="Source Sans Pro" w:hAnsi="Source Sans Pro" w:cs="Source Sans Pro"/>
          <w:color w:val="2A676A"/>
          <w:sz w:val="20"/>
          <w:szCs w:val="20"/>
        </w:rPr>
      </w:pPr>
      <w:hyperlink r:id="rId13">
        <w:r>
          <w:rPr>
            <w:rFonts w:ascii="Source Sans Pro" w:eastAsia="Source Sans Pro" w:hAnsi="Source Sans Pro" w:cs="Source Sans Pro"/>
            <w:color w:val="1155CC"/>
            <w:sz w:val="20"/>
            <w:szCs w:val="20"/>
            <w:u w:val="single"/>
          </w:rPr>
          <w:t>France Digitale</w:t>
        </w:r>
      </w:hyperlink>
    </w:p>
    <w:p w:rsidR="00457ABD" w:rsidRDefault="00ED1D80">
      <w:pPr>
        <w:numPr>
          <w:ilvl w:val="0"/>
          <w:numId w:val="1"/>
        </w:numPr>
        <w:jc w:val="both"/>
        <w:rPr>
          <w:rFonts w:ascii="Source Sans Pro" w:eastAsia="Source Sans Pro" w:hAnsi="Source Sans Pro" w:cs="Source Sans Pro"/>
          <w:color w:val="2A676A"/>
          <w:sz w:val="20"/>
          <w:szCs w:val="20"/>
        </w:rPr>
      </w:pPr>
      <w:hyperlink r:id="rId14">
        <w:r>
          <w:rPr>
            <w:rFonts w:ascii="Source Sans Pro" w:eastAsia="Source Sans Pro" w:hAnsi="Source Sans Pro" w:cs="Source Sans Pro"/>
            <w:color w:val="1155CC"/>
            <w:sz w:val="20"/>
            <w:szCs w:val="20"/>
            <w:u w:val="single"/>
          </w:rPr>
          <w:t>Institut National de l’économie circulaire</w:t>
        </w:r>
      </w:hyperlink>
    </w:p>
    <w:p w:rsidR="00457ABD" w:rsidRDefault="00ED1D80">
      <w:pPr>
        <w:numPr>
          <w:ilvl w:val="0"/>
          <w:numId w:val="1"/>
        </w:numPr>
        <w:pBdr>
          <w:top w:val="nil"/>
          <w:left w:val="nil"/>
          <w:bottom w:val="nil"/>
          <w:right w:val="nil"/>
          <w:between w:val="nil"/>
        </w:pBdr>
        <w:jc w:val="both"/>
        <w:rPr>
          <w:rFonts w:ascii="Source Sans Pro" w:eastAsia="Source Sans Pro" w:hAnsi="Source Sans Pro" w:cs="Source Sans Pro"/>
          <w:color w:val="2A676A"/>
          <w:sz w:val="20"/>
          <w:szCs w:val="20"/>
        </w:rPr>
      </w:pPr>
      <w:hyperlink r:id="rId15">
        <w:r>
          <w:rPr>
            <w:rFonts w:ascii="Source Sans Pro" w:eastAsia="Source Sans Pro" w:hAnsi="Source Sans Pro" w:cs="Source Sans Pro"/>
            <w:color w:val="1155CC"/>
            <w:sz w:val="20"/>
            <w:szCs w:val="20"/>
            <w:u w:val="single"/>
          </w:rPr>
          <w:t xml:space="preserve">La communauté des entreprises à </w:t>
        </w:r>
        <w:r>
          <w:rPr>
            <w:rFonts w:ascii="Source Sans Pro" w:eastAsia="Source Sans Pro" w:hAnsi="Source Sans Pro" w:cs="Source Sans Pro"/>
            <w:color w:val="1155CC"/>
            <w:sz w:val="20"/>
            <w:szCs w:val="20"/>
            <w:u w:val="single"/>
          </w:rPr>
          <w:t>mission</w:t>
        </w:r>
      </w:hyperlink>
    </w:p>
    <w:p w:rsidR="00457ABD" w:rsidRDefault="00ED1D80">
      <w:pPr>
        <w:numPr>
          <w:ilvl w:val="0"/>
          <w:numId w:val="1"/>
        </w:numPr>
        <w:jc w:val="both"/>
        <w:rPr>
          <w:rFonts w:ascii="Source Sans Pro" w:eastAsia="Source Sans Pro" w:hAnsi="Source Sans Pro" w:cs="Source Sans Pro"/>
          <w:color w:val="2A676A"/>
          <w:sz w:val="20"/>
          <w:szCs w:val="20"/>
        </w:rPr>
      </w:pPr>
      <w:hyperlink r:id="rId16">
        <w:r>
          <w:rPr>
            <w:rFonts w:ascii="Source Sans Pro" w:eastAsia="Source Sans Pro" w:hAnsi="Source Sans Pro" w:cs="Source Sans Pro"/>
            <w:color w:val="1155CC"/>
            <w:sz w:val="20"/>
            <w:szCs w:val="20"/>
            <w:u w:val="single"/>
          </w:rPr>
          <w:t>La Fabrique de l’Industrie</w:t>
        </w:r>
      </w:hyperlink>
    </w:p>
    <w:p w:rsidR="00457ABD" w:rsidRDefault="00ED1D80">
      <w:pPr>
        <w:numPr>
          <w:ilvl w:val="0"/>
          <w:numId w:val="1"/>
        </w:numPr>
        <w:pBdr>
          <w:top w:val="nil"/>
          <w:left w:val="nil"/>
          <w:bottom w:val="nil"/>
          <w:right w:val="nil"/>
          <w:between w:val="nil"/>
        </w:pBdr>
        <w:jc w:val="both"/>
        <w:rPr>
          <w:rFonts w:ascii="Source Sans Pro" w:eastAsia="Source Sans Pro" w:hAnsi="Source Sans Pro" w:cs="Source Sans Pro"/>
          <w:color w:val="2A676A"/>
          <w:sz w:val="20"/>
          <w:szCs w:val="20"/>
        </w:rPr>
      </w:pPr>
      <w:hyperlink r:id="rId17">
        <w:r>
          <w:rPr>
            <w:rFonts w:ascii="Source Sans Pro" w:eastAsia="Source Sans Pro" w:hAnsi="Source Sans Pro" w:cs="Source Sans Pro"/>
            <w:color w:val="1155CC"/>
            <w:sz w:val="20"/>
            <w:szCs w:val="20"/>
            <w:u w:val="single"/>
          </w:rPr>
          <w:t>Le collège des directeurs du développement durable (C3D)</w:t>
        </w:r>
      </w:hyperlink>
    </w:p>
    <w:p w:rsidR="00457ABD" w:rsidRDefault="00ED1D80">
      <w:pPr>
        <w:numPr>
          <w:ilvl w:val="0"/>
          <w:numId w:val="1"/>
        </w:numPr>
        <w:jc w:val="both"/>
        <w:rPr>
          <w:rFonts w:ascii="Source Sans Pro" w:eastAsia="Source Sans Pro" w:hAnsi="Source Sans Pro" w:cs="Source Sans Pro"/>
          <w:color w:val="2A676A"/>
          <w:sz w:val="20"/>
          <w:szCs w:val="20"/>
        </w:rPr>
      </w:pPr>
      <w:hyperlink r:id="rId18">
        <w:r>
          <w:rPr>
            <w:rFonts w:ascii="Source Sans Pro" w:eastAsia="Source Sans Pro" w:hAnsi="Source Sans Pro" w:cs="Source Sans Pro"/>
            <w:color w:val="1155CC"/>
            <w:sz w:val="20"/>
            <w:szCs w:val="20"/>
            <w:u w:val="single"/>
          </w:rPr>
          <w:t>Le Mouves</w:t>
        </w:r>
      </w:hyperlink>
      <w:r>
        <w:rPr>
          <w:rFonts w:ascii="Source Sans Pro" w:eastAsia="Source Sans Pro" w:hAnsi="Source Sans Pro" w:cs="Source Sans Pro"/>
          <w:color w:val="2A676A"/>
          <w:sz w:val="20"/>
          <w:szCs w:val="20"/>
        </w:rPr>
        <w:t xml:space="preserve"> </w:t>
      </w:r>
    </w:p>
    <w:p w:rsidR="00457ABD" w:rsidRDefault="00ED1D80">
      <w:pPr>
        <w:numPr>
          <w:ilvl w:val="0"/>
          <w:numId w:val="1"/>
        </w:numPr>
        <w:jc w:val="both"/>
        <w:rPr>
          <w:rFonts w:ascii="Source Sans Pro" w:eastAsia="Source Sans Pro" w:hAnsi="Source Sans Pro" w:cs="Source Sans Pro"/>
          <w:color w:val="2A676A"/>
          <w:sz w:val="20"/>
          <w:szCs w:val="20"/>
        </w:rPr>
      </w:pPr>
      <w:hyperlink r:id="rId19">
        <w:r>
          <w:rPr>
            <w:rFonts w:ascii="Source Sans Pro" w:eastAsia="Source Sans Pro" w:hAnsi="Source Sans Pro" w:cs="Source Sans Pro"/>
            <w:color w:val="1155CC"/>
            <w:sz w:val="20"/>
            <w:szCs w:val="20"/>
            <w:u w:val="single"/>
          </w:rPr>
          <w:t>Make Sense</w:t>
        </w:r>
      </w:hyperlink>
    </w:p>
    <w:p w:rsidR="00457ABD" w:rsidRDefault="00ED1D80">
      <w:pPr>
        <w:numPr>
          <w:ilvl w:val="0"/>
          <w:numId w:val="1"/>
        </w:numPr>
        <w:jc w:val="both"/>
        <w:rPr>
          <w:rFonts w:ascii="Source Sans Pro" w:eastAsia="Source Sans Pro" w:hAnsi="Source Sans Pro" w:cs="Source Sans Pro"/>
          <w:color w:val="2A676A"/>
          <w:sz w:val="20"/>
          <w:szCs w:val="20"/>
        </w:rPr>
      </w:pPr>
      <w:hyperlink r:id="rId20">
        <w:r>
          <w:rPr>
            <w:rFonts w:ascii="Source Sans Pro" w:eastAsia="Source Sans Pro" w:hAnsi="Source Sans Pro" w:cs="Source Sans Pro"/>
            <w:color w:val="1155CC"/>
            <w:sz w:val="20"/>
            <w:szCs w:val="20"/>
            <w:u w:val="single"/>
          </w:rPr>
          <w:t>Nous sommes demain</w:t>
        </w:r>
      </w:hyperlink>
    </w:p>
    <w:p w:rsidR="00457ABD" w:rsidRDefault="00ED1D80">
      <w:pPr>
        <w:numPr>
          <w:ilvl w:val="0"/>
          <w:numId w:val="1"/>
        </w:numPr>
        <w:jc w:val="both"/>
        <w:rPr>
          <w:rFonts w:ascii="Source Sans Pro" w:eastAsia="Source Sans Pro" w:hAnsi="Source Sans Pro" w:cs="Source Sans Pro"/>
          <w:color w:val="2A676A"/>
          <w:sz w:val="20"/>
          <w:szCs w:val="20"/>
        </w:rPr>
      </w:pPr>
      <w:hyperlink r:id="rId21">
        <w:r>
          <w:rPr>
            <w:rFonts w:ascii="Source Sans Pro" w:eastAsia="Source Sans Pro" w:hAnsi="Source Sans Pro" w:cs="Source Sans Pro"/>
            <w:color w:val="1155CC"/>
            <w:sz w:val="20"/>
            <w:szCs w:val="20"/>
            <w:u w:val="single"/>
          </w:rPr>
          <w:t>Pour un Réveil Écologique</w:t>
        </w:r>
      </w:hyperlink>
    </w:p>
    <w:p w:rsidR="00457ABD" w:rsidRDefault="00ED1D80">
      <w:pPr>
        <w:numPr>
          <w:ilvl w:val="0"/>
          <w:numId w:val="1"/>
        </w:numPr>
        <w:jc w:val="both"/>
        <w:rPr>
          <w:rFonts w:ascii="Source Sans Pro" w:eastAsia="Source Sans Pro" w:hAnsi="Source Sans Pro" w:cs="Source Sans Pro"/>
          <w:color w:val="2A676A"/>
          <w:sz w:val="20"/>
          <w:szCs w:val="20"/>
        </w:rPr>
      </w:pPr>
      <w:hyperlink r:id="rId22">
        <w:r>
          <w:rPr>
            <w:rFonts w:ascii="Source Sans Pro" w:eastAsia="Source Sans Pro" w:hAnsi="Source Sans Pro" w:cs="Source Sans Pro"/>
            <w:color w:val="1155CC"/>
            <w:sz w:val="20"/>
            <w:szCs w:val="20"/>
            <w:u w:val="single"/>
          </w:rPr>
          <w:t>So Press</w:t>
        </w:r>
      </w:hyperlink>
    </w:p>
    <w:p w:rsidR="00457ABD" w:rsidRDefault="00ED1D80">
      <w:pPr>
        <w:numPr>
          <w:ilvl w:val="0"/>
          <w:numId w:val="1"/>
        </w:numPr>
        <w:pBdr>
          <w:top w:val="nil"/>
          <w:left w:val="nil"/>
          <w:bottom w:val="nil"/>
          <w:right w:val="nil"/>
          <w:between w:val="nil"/>
        </w:pBdr>
        <w:jc w:val="both"/>
        <w:rPr>
          <w:rFonts w:ascii="Source Sans Pro" w:eastAsia="Source Sans Pro" w:hAnsi="Source Sans Pro" w:cs="Source Sans Pro"/>
          <w:color w:val="2A676A"/>
          <w:sz w:val="20"/>
          <w:szCs w:val="20"/>
        </w:rPr>
      </w:pPr>
      <w:hyperlink r:id="rId23">
        <w:r>
          <w:rPr>
            <w:rFonts w:ascii="Source Sans Pro" w:eastAsia="Source Sans Pro" w:hAnsi="Source Sans Pro" w:cs="Source Sans Pro"/>
            <w:color w:val="1155CC"/>
            <w:sz w:val="20"/>
            <w:szCs w:val="20"/>
            <w:u w:val="single"/>
          </w:rPr>
          <w:t>Réseau Entreprendre Paris</w:t>
        </w:r>
      </w:hyperlink>
    </w:p>
    <w:p w:rsidR="00457ABD" w:rsidRDefault="00ED1D80">
      <w:pPr>
        <w:numPr>
          <w:ilvl w:val="0"/>
          <w:numId w:val="1"/>
        </w:numPr>
        <w:jc w:val="both"/>
        <w:rPr>
          <w:rFonts w:ascii="Source Sans Pro" w:eastAsia="Source Sans Pro" w:hAnsi="Source Sans Pro" w:cs="Source Sans Pro"/>
          <w:color w:val="2A676A"/>
          <w:sz w:val="20"/>
          <w:szCs w:val="20"/>
        </w:rPr>
      </w:pPr>
      <w:hyperlink r:id="rId24">
        <w:r>
          <w:rPr>
            <w:rFonts w:ascii="Source Sans Pro" w:eastAsia="Source Sans Pro" w:hAnsi="Source Sans Pro" w:cs="Source Sans Pro"/>
            <w:color w:val="1155CC"/>
            <w:sz w:val="20"/>
            <w:szCs w:val="20"/>
            <w:u w:val="single"/>
          </w:rPr>
          <w:t>The Shift Project</w:t>
        </w:r>
      </w:hyperlink>
    </w:p>
    <w:p w:rsidR="00457ABD" w:rsidRDefault="00ED1D80">
      <w:pPr>
        <w:numPr>
          <w:ilvl w:val="0"/>
          <w:numId w:val="1"/>
        </w:numPr>
        <w:jc w:val="both"/>
        <w:rPr>
          <w:rFonts w:ascii="Source Sans Pro" w:eastAsia="Source Sans Pro" w:hAnsi="Source Sans Pro" w:cs="Source Sans Pro"/>
          <w:color w:val="2A676A"/>
          <w:sz w:val="20"/>
          <w:szCs w:val="20"/>
        </w:rPr>
      </w:pPr>
      <w:hyperlink r:id="rId25">
        <w:r>
          <w:rPr>
            <w:rFonts w:ascii="Source Sans Pro" w:eastAsia="Source Sans Pro" w:hAnsi="Source Sans Pro" w:cs="Source Sans Pro"/>
            <w:color w:val="1155CC"/>
            <w:sz w:val="20"/>
            <w:szCs w:val="20"/>
            <w:u w:val="single"/>
          </w:rPr>
          <w:t>Usbek &amp; Rica</w:t>
        </w:r>
      </w:hyperlink>
    </w:p>
    <w:p w:rsidR="00457ABD" w:rsidRDefault="00457ABD">
      <w:pPr>
        <w:pBdr>
          <w:top w:val="nil"/>
          <w:left w:val="nil"/>
          <w:bottom w:val="nil"/>
          <w:right w:val="nil"/>
          <w:between w:val="nil"/>
        </w:pBdr>
        <w:jc w:val="both"/>
        <w:rPr>
          <w:rFonts w:ascii="Source Sans Pro" w:eastAsia="Source Sans Pro" w:hAnsi="Source Sans Pro" w:cs="Source Sans Pro"/>
          <w:color w:val="2A676A"/>
          <w:sz w:val="20"/>
          <w:szCs w:val="20"/>
        </w:rPr>
      </w:pPr>
    </w:p>
    <w:p w:rsidR="00457ABD" w:rsidRDefault="00ED1D80">
      <w:pPr>
        <w:pBdr>
          <w:top w:val="nil"/>
          <w:left w:val="nil"/>
          <w:bottom w:val="nil"/>
          <w:right w:val="nil"/>
          <w:between w:val="nil"/>
        </w:pBdr>
        <w:jc w:val="both"/>
        <w:rPr>
          <w:rFonts w:ascii="Source Sans Pro" w:eastAsia="Source Sans Pro" w:hAnsi="Source Sans Pro" w:cs="Source Sans Pro"/>
          <w:color w:val="2A676A"/>
          <w:sz w:val="20"/>
          <w:szCs w:val="20"/>
        </w:rPr>
      </w:pPr>
      <w:r>
        <w:rPr>
          <w:rFonts w:ascii="Source Sans Pro" w:eastAsia="Source Sans Pro" w:hAnsi="Source Sans Pro" w:cs="Source Sans Pro"/>
          <w:color w:val="2A676A"/>
          <w:sz w:val="20"/>
          <w:szCs w:val="20"/>
        </w:rPr>
        <w:t>La</w:t>
      </w:r>
      <w:r>
        <w:rPr>
          <w:rFonts w:ascii="Source Sans Pro" w:eastAsia="Source Sans Pro" w:hAnsi="Source Sans Pro" w:cs="Source Sans Pro"/>
          <w:color w:val="2A676A"/>
          <w:sz w:val="20"/>
          <w:szCs w:val="20"/>
        </w:rPr>
        <w:t xml:space="preserve"> démarche s’inscrit par ailleurs dans l’esprit de la Coalition  </w:t>
      </w:r>
      <w:hyperlink r:id="rId26">
        <w:r>
          <w:rPr>
            <w:rFonts w:ascii="Source Sans Pro" w:eastAsia="Source Sans Pro" w:hAnsi="Source Sans Pro" w:cs="Source Sans Pro"/>
            <w:color w:val="2A676A"/>
            <w:sz w:val="20"/>
            <w:szCs w:val="20"/>
          </w:rPr>
          <w:t xml:space="preserve">« </w:t>
        </w:r>
      </w:hyperlink>
      <w:hyperlink r:id="rId27">
        <w:r>
          <w:rPr>
            <w:rFonts w:ascii="Source Sans Pro" w:eastAsia="Source Sans Pro" w:hAnsi="Source Sans Pro" w:cs="Source Sans Pro"/>
            <w:color w:val="2A676A"/>
            <w:sz w:val="20"/>
            <w:szCs w:val="20"/>
          </w:rPr>
          <w:t>10% pour tout changer</w:t>
        </w:r>
      </w:hyperlink>
      <w:hyperlink r:id="rId28">
        <w:r>
          <w:rPr>
            <w:rFonts w:ascii="Source Sans Pro" w:eastAsia="Source Sans Pro" w:hAnsi="Source Sans Pro" w:cs="Source Sans Pro"/>
            <w:color w:val="2A676A"/>
            <w:sz w:val="20"/>
            <w:szCs w:val="20"/>
          </w:rPr>
          <w:t xml:space="preserve"> »</w:t>
        </w:r>
      </w:hyperlink>
      <w:r>
        <w:rPr>
          <w:rFonts w:ascii="Source Sans Pro" w:eastAsia="Source Sans Pro" w:hAnsi="Source Sans Pro" w:cs="Source Sans Pro"/>
          <w:color w:val="2A676A"/>
          <w:sz w:val="20"/>
          <w:szCs w:val="20"/>
        </w:rPr>
        <w:t xml:space="preserve">, portée par le Haut-Commissariat à l'Économie sociale et solidaire. </w:t>
      </w:r>
    </w:p>
    <w:p w:rsidR="00457ABD" w:rsidRDefault="00457ABD">
      <w:pPr>
        <w:pBdr>
          <w:top w:val="nil"/>
          <w:left w:val="nil"/>
          <w:bottom w:val="nil"/>
          <w:right w:val="nil"/>
          <w:between w:val="nil"/>
        </w:pBdr>
        <w:jc w:val="both"/>
        <w:rPr>
          <w:rFonts w:ascii="Source Sans Pro" w:eastAsia="Source Sans Pro" w:hAnsi="Source Sans Pro" w:cs="Source Sans Pro"/>
          <w:color w:val="2A676A"/>
          <w:sz w:val="20"/>
          <w:szCs w:val="20"/>
        </w:rPr>
      </w:pPr>
    </w:p>
    <w:p w:rsidR="00457ABD" w:rsidRDefault="00ED1D80">
      <w:pPr>
        <w:pStyle w:val="Titre2"/>
        <w:numPr>
          <w:ilvl w:val="0"/>
          <w:numId w:val="5"/>
        </w:numPr>
        <w:jc w:val="both"/>
        <w:rPr>
          <w:sz w:val="36"/>
          <w:szCs w:val="36"/>
        </w:rPr>
      </w:pPr>
      <w:bookmarkStart w:id="2" w:name="_gmhkvhp4kcwc" w:colFirst="0" w:colLast="0"/>
      <w:bookmarkEnd w:id="2"/>
      <w:r>
        <w:rPr>
          <w:sz w:val="36"/>
          <w:szCs w:val="36"/>
        </w:rPr>
        <w:t>Le dispositif</w:t>
      </w:r>
    </w:p>
    <w:p w:rsidR="00457ABD" w:rsidRDefault="00457ABD">
      <w:pPr>
        <w:jc w:val="both"/>
        <w:rPr>
          <w:rFonts w:ascii="Source Sans Pro" w:eastAsia="Source Sans Pro" w:hAnsi="Source Sans Pro" w:cs="Source Sans Pro"/>
          <w:b/>
          <w:color w:val="2A676A"/>
          <w:sz w:val="20"/>
          <w:szCs w:val="20"/>
        </w:rPr>
      </w:pPr>
    </w:p>
    <w:p w:rsidR="00457ABD" w:rsidRDefault="00ED1D80">
      <w:pPr>
        <w:rPr>
          <w:rFonts w:ascii="Source Sans Pro" w:eastAsia="Source Sans Pro" w:hAnsi="Source Sans Pro" w:cs="Source Sans Pro"/>
          <w:color w:val="2A676A"/>
          <w:sz w:val="20"/>
          <w:szCs w:val="20"/>
        </w:rPr>
      </w:pPr>
      <w:r>
        <w:rPr>
          <w:rFonts w:ascii="Source Sans Pro" w:eastAsia="Source Sans Pro" w:hAnsi="Source Sans Pro" w:cs="Source Sans Pro"/>
          <w:color w:val="2A676A"/>
          <w:sz w:val="20"/>
          <w:szCs w:val="20"/>
        </w:rPr>
        <w:t xml:space="preserve">ReCOVery </w:t>
      </w:r>
      <w:proofErr w:type="gramStart"/>
      <w:r>
        <w:rPr>
          <w:rFonts w:ascii="Source Sans Pro" w:eastAsia="Source Sans Pro" w:hAnsi="Source Sans Pro" w:cs="Source Sans Pro"/>
          <w:color w:val="2A676A"/>
          <w:sz w:val="20"/>
          <w:szCs w:val="20"/>
        </w:rPr>
        <w:t>propose  un</w:t>
      </w:r>
      <w:proofErr w:type="gramEnd"/>
      <w:r>
        <w:rPr>
          <w:rFonts w:ascii="Source Sans Pro" w:eastAsia="Source Sans Pro" w:hAnsi="Source Sans Pro" w:cs="Source Sans Pro"/>
          <w:color w:val="2A676A"/>
          <w:sz w:val="20"/>
          <w:szCs w:val="20"/>
        </w:rPr>
        <w:t xml:space="preserve"> espace de contributions, d’échanges et de débats sur l’économie que les membres et partenaires </w:t>
      </w:r>
      <w:r>
        <w:rPr>
          <w:rFonts w:ascii="Source Sans Pro" w:eastAsia="Source Sans Pro" w:hAnsi="Source Sans Pro" w:cs="Source Sans Pro"/>
          <w:color w:val="2A676A"/>
          <w:sz w:val="20"/>
          <w:szCs w:val="20"/>
        </w:rPr>
        <w:t xml:space="preserve"> souhaitons voir émerger de la crise actuelle. </w:t>
      </w:r>
    </w:p>
    <w:p w:rsidR="00457ABD" w:rsidRDefault="00457ABD">
      <w:pPr>
        <w:rPr>
          <w:rFonts w:ascii="Source Sans Pro" w:eastAsia="Source Sans Pro" w:hAnsi="Source Sans Pro" w:cs="Source Sans Pro"/>
          <w:b/>
          <w:color w:val="2A676A"/>
          <w:sz w:val="20"/>
          <w:szCs w:val="20"/>
        </w:rPr>
      </w:pPr>
    </w:p>
    <w:p w:rsidR="00457ABD" w:rsidRDefault="00ED1D80">
      <w:pPr>
        <w:rPr>
          <w:rFonts w:ascii="Source Sans Pro" w:eastAsia="Source Sans Pro" w:hAnsi="Source Sans Pro" w:cs="Source Sans Pro"/>
          <w:color w:val="2A676A"/>
          <w:sz w:val="20"/>
          <w:szCs w:val="20"/>
        </w:rPr>
      </w:pPr>
      <w:r>
        <w:rPr>
          <w:rFonts w:ascii="Source Sans Pro" w:eastAsia="Source Sans Pro" w:hAnsi="Source Sans Pro" w:cs="Source Sans Pro"/>
          <w:color w:val="2A676A"/>
          <w:sz w:val="20"/>
          <w:szCs w:val="20"/>
        </w:rPr>
        <w:t xml:space="preserve">Pendant la durée de l'initiative, six débats réunissant partenaires et Grands témoins, ont été organisés en ligne. Les spectateurs étaient ensuite encouragés à contribuer à leur tour sur ces thématiques, en </w:t>
      </w:r>
      <w:r>
        <w:rPr>
          <w:rFonts w:ascii="Source Sans Pro" w:eastAsia="Source Sans Pro" w:hAnsi="Source Sans Pro" w:cs="Source Sans Pro"/>
          <w:color w:val="2A676A"/>
          <w:sz w:val="20"/>
          <w:szCs w:val="20"/>
        </w:rPr>
        <w:t>partageant leurs propositions sur la plateforme collaborative Braineet (</w:t>
      </w:r>
      <w:hyperlink r:id="rId29">
        <w:r>
          <w:rPr>
            <w:rFonts w:ascii="Source Sans Pro" w:eastAsia="Source Sans Pro" w:hAnsi="Source Sans Pro" w:cs="Source Sans Pro"/>
            <w:color w:val="1155CC"/>
            <w:sz w:val="20"/>
            <w:szCs w:val="20"/>
            <w:u w:val="single"/>
          </w:rPr>
          <w:t>https://recovery.braineet.com/fr/</w:t>
        </w:r>
      </w:hyperlink>
      <w:r>
        <w:rPr>
          <w:rFonts w:ascii="Source Sans Pro" w:eastAsia="Source Sans Pro" w:hAnsi="Source Sans Pro" w:cs="Source Sans Pro"/>
          <w:color w:val="2A676A"/>
          <w:sz w:val="20"/>
          <w:szCs w:val="20"/>
        </w:rPr>
        <w:t xml:space="preserve">). </w:t>
      </w:r>
    </w:p>
    <w:p w:rsidR="00457ABD" w:rsidRDefault="00457ABD">
      <w:pPr>
        <w:rPr>
          <w:rFonts w:ascii="Source Sans Pro" w:eastAsia="Source Sans Pro" w:hAnsi="Source Sans Pro" w:cs="Source Sans Pro"/>
          <w:color w:val="2A676A"/>
          <w:sz w:val="20"/>
          <w:szCs w:val="20"/>
        </w:rPr>
      </w:pPr>
    </w:p>
    <w:p w:rsidR="00457ABD" w:rsidRDefault="00ED1D80">
      <w:pPr>
        <w:jc w:val="both"/>
        <w:rPr>
          <w:rFonts w:ascii="Source Sans Pro" w:eastAsia="Source Sans Pro" w:hAnsi="Source Sans Pro" w:cs="Source Sans Pro"/>
          <w:color w:val="2A676A"/>
          <w:sz w:val="20"/>
          <w:szCs w:val="20"/>
        </w:rPr>
      </w:pPr>
      <w:r>
        <w:rPr>
          <w:rFonts w:ascii="Source Sans Pro" w:eastAsia="Source Sans Pro" w:hAnsi="Source Sans Pro" w:cs="Source Sans Pro"/>
          <w:color w:val="2A676A"/>
          <w:sz w:val="20"/>
          <w:szCs w:val="20"/>
        </w:rPr>
        <w:t xml:space="preserve">Les débats ont rassemblé </w:t>
      </w:r>
      <w:r>
        <w:rPr>
          <w:rFonts w:ascii="Source Sans Pro" w:eastAsia="Source Sans Pro" w:hAnsi="Source Sans Pro" w:cs="Source Sans Pro"/>
          <w:b/>
          <w:color w:val="2A676A"/>
          <w:sz w:val="20"/>
          <w:szCs w:val="20"/>
        </w:rPr>
        <w:t>plus de 400 spectateurs en direct sur Youtube et Zoom en moyenne</w:t>
      </w:r>
      <w:r>
        <w:rPr>
          <w:rFonts w:ascii="Source Sans Pro" w:eastAsia="Source Sans Pro" w:hAnsi="Source Sans Pro" w:cs="Source Sans Pro"/>
          <w:color w:val="2A676A"/>
          <w:sz w:val="20"/>
          <w:szCs w:val="20"/>
        </w:rPr>
        <w:t xml:space="preserve"> </w:t>
      </w:r>
      <w:r>
        <w:rPr>
          <w:rFonts w:ascii="Source Sans Pro" w:eastAsia="Source Sans Pro" w:hAnsi="Source Sans Pro" w:cs="Source Sans Pro"/>
          <w:b/>
          <w:color w:val="2A676A"/>
          <w:sz w:val="20"/>
          <w:szCs w:val="20"/>
        </w:rPr>
        <w:t>cha</w:t>
      </w:r>
      <w:r>
        <w:rPr>
          <w:rFonts w:ascii="Source Sans Pro" w:eastAsia="Source Sans Pro" w:hAnsi="Source Sans Pro" w:cs="Source Sans Pro"/>
          <w:b/>
          <w:color w:val="2A676A"/>
          <w:sz w:val="20"/>
          <w:szCs w:val="20"/>
        </w:rPr>
        <w:t>cun</w:t>
      </w:r>
      <w:r>
        <w:rPr>
          <w:rFonts w:ascii="Source Sans Pro" w:eastAsia="Source Sans Pro" w:hAnsi="Source Sans Pro" w:cs="Source Sans Pro"/>
          <w:color w:val="2A676A"/>
          <w:sz w:val="20"/>
          <w:szCs w:val="20"/>
        </w:rPr>
        <w:t xml:space="preserve">, et </w:t>
      </w:r>
      <w:r>
        <w:rPr>
          <w:rFonts w:ascii="Source Sans Pro" w:eastAsia="Source Sans Pro" w:hAnsi="Source Sans Pro" w:cs="Source Sans Pro"/>
          <w:b/>
          <w:color w:val="2A676A"/>
          <w:sz w:val="20"/>
          <w:szCs w:val="20"/>
        </w:rPr>
        <w:t>plus d’un millier de vues cumulées sur leurs rediffusions</w:t>
      </w:r>
      <w:r>
        <w:rPr>
          <w:rFonts w:ascii="Source Sans Pro" w:eastAsia="Source Sans Pro" w:hAnsi="Source Sans Pro" w:cs="Source Sans Pro"/>
          <w:color w:val="2A676A"/>
          <w:sz w:val="20"/>
          <w:szCs w:val="20"/>
        </w:rPr>
        <w:t>. A ces chiffres s’ajoutent</w:t>
      </w:r>
      <w:r>
        <w:rPr>
          <w:rFonts w:ascii="Source Sans Pro" w:eastAsia="Source Sans Pro" w:hAnsi="Source Sans Pro" w:cs="Source Sans Pro"/>
          <w:b/>
          <w:color w:val="2A676A"/>
          <w:sz w:val="20"/>
          <w:szCs w:val="20"/>
        </w:rPr>
        <w:t xml:space="preserve"> 37 928 vidéos vues sur Linkedin</w:t>
      </w:r>
      <w:r>
        <w:rPr>
          <w:rFonts w:ascii="Source Sans Pro" w:eastAsia="Source Sans Pro" w:hAnsi="Source Sans Pro" w:cs="Source Sans Pro"/>
          <w:color w:val="2A676A"/>
          <w:sz w:val="20"/>
          <w:szCs w:val="20"/>
        </w:rPr>
        <w:t xml:space="preserve">, pour </w:t>
      </w:r>
      <w:r>
        <w:rPr>
          <w:rFonts w:ascii="Source Sans Pro" w:eastAsia="Source Sans Pro" w:hAnsi="Source Sans Pro" w:cs="Source Sans Pro"/>
          <w:b/>
          <w:color w:val="2A676A"/>
          <w:sz w:val="20"/>
          <w:szCs w:val="20"/>
        </w:rPr>
        <w:t>1 360 abonnés (“followers”)</w:t>
      </w:r>
      <w:r>
        <w:rPr>
          <w:rFonts w:ascii="Source Sans Pro" w:eastAsia="Source Sans Pro" w:hAnsi="Source Sans Pro" w:cs="Source Sans Pro"/>
          <w:color w:val="2A676A"/>
          <w:sz w:val="20"/>
          <w:szCs w:val="20"/>
        </w:rPr>
        <w:t xml:space="preserve">.  </w:t>
      </w:r>
    </w:p>
    <w:p w:rsidR="00457ABD" w:rsidRDefault="00457ABD">
      <w:pPr>
        <w:rPr>
          <w:rFonts w:ascii="Source Sans Pro" w:eastAsia="Source Sans Pro" w:hAnsi="Source Sans Pro" w:cs="Source Sans Pro"/>
          <w:color w:val="2A676A"/>
          <w:sz w:val="20"/>
          <w:szCs w:val="20"/>
        </w:rPr>
      </w:pPr>
    </w:p>
    <w:p w:rsidR="00457ABD" w:rsidRDefault="00ED1D80">
      <w:pPr>
        <w:rPr>
          <w:rFonts w:ascii="Source Sans Pro" w:eastAsia="Source Sans Pro" w:hAnsi="Source Sans Pro" w:cs="Source Sans Pro"/>
          <w:color w:val="2A676A"/>
          <w:sz w:val="20"/>
          <w:szCs w:val="20"/>
        </w:rPr>
      </w:pPr>
      <w:r>
        <w:rPr>
          <w:rFonts w:ascii="Source Sans Pro" w:eastAsia="Source Sans Pro" w:hAnsi="Source Sans Pro" w:cs="Source Sans Pro"/>
          <w:color w:val="2A676A"/>
          <w:sz w:val="20"/>
          <w:szCs w:val="20"/>
        </w:rPr>
        <w:t xml:space="preserve">En outre, la plateforme a suscité </w:t>
      </w:r>
      <w:r>
        <w:rPr>
          <w:rFonts w:ascii="Source Sans Pro" w:eastAsia="Source Sans Pro" w:hAnsi="Source Sans Pro" w:cs="Source Sans Pro"/>
          <w:b/>
          <w:color w:val="2A676A"/>
          <w:sz w:val="20"/>
          <w:szCs w:val="20"/>
        </w:rPr>
        <w:t>59 000 visites</w:t>
      </w:r>
      <w:r>
        <w:rPr>
          <w:rFonts w:ascii="Source Sans Pro" w:eastAsia="Source Sans Pro" w:hAnsi="Source Sans Pro" w:cs="Source Sans Pro"/>
          <w:color w:val="2A676A"/>
          <w:sz w:val="20"/>
          <w:szCs w:val="20"/>
        </w:rPr>
        <w:t xml:space="preserve"> et </w:t>
      </w:r>
      <w:r>
        <w:rPr>
          <w:rFonts w:ascii="Source Sans Pro" w:eastAsia="Source Sans Pro" w:hAnsi="Source Sans Pro" w:cs="Source Sans Pro"/>
          <w:b/>
          <w:color w:val="2A676A"/>
          <w:sz w:val="20"/>
          <w:szCs w:val="20"/>
        </w:rPr>
        <w:t>1 093 membres inscrits</w:t>
      </w:r>
      <w:r>
        <w:rPr>
          <w:rFonts w:ascii="Source Sans Pro" w:eastAsia="Source Sans Pro" w:hAnsi="Source Sans Pro" w:cs="Source Sans Pro"/>
          <w:color w:val="2A676A"/>
          <w:sz w:val="20"/>
          <w:szCs w:val="20"/>
        </w:rPr>
        <w:t>. Pendant les 31 jo</w:t>
      </w:r>
      <w:r>
        <w:rPr>
          <w:rFonts w:ascii="Source Sans Pro" w:eastAsia="Source Sans Pro" w:hAnsi="Source Sans Pro" w:cs="Source Sans Pro"/>
          <w:color w:val="2A676A"/>
          <w:sz w:val="20"/>
          <w:szCs w:val="20"/>
        </w:rPr>
        <w:t xml:space="preserve">urs de l’initiative, </w:t>
      </w:r>
      <w:r>
        <w:rPr>
          <w:rFonts w:ascii="Source Sans Pro" w:eastAsia="Source Sans Pro" w:hAnsi="Source Sans Pro" w:cs="Source Sans Pro"/>
          <w:b/>
          <w:color w:val="2A676A"/>
          <w:sz w:val="20"/>
          <w:szCs w:val="20"/>
        </w:rPr>
        <w:t>493 propositions, 578 commentaires et plus de 5 000 marques d’approbation (“likes”) ont été émis</w:t>
      </w:r>
      <w:r>
        <w:rPr>
          <w:rFonts w:ascii="Source Sans Pro" w:eastAsia="Source Sans Pro" w:hAnsi="Source Sans Pro" w:cs="Source Sans Pro"/>
          <w:color w:val="2A676A"/>
          <w:sz w:val="20"/>
          <w:szCs w:val="20"/>
        </w:rPr>
        <w:t>.</w:t>
      </w:r>
    </w:p>
    <w:p w:rsidR="00457ABD" w:rsidRDefault="00457ABD">
      <w:pPr>
        <w:rPr>
          <w:rFonts w:ascii="Source Sans Pro" w:eastAsia="Source Sans Pro" w:hAnsi="Source Sans Pro" w:cs="Source Sans Pro"/>
          <w:color w:val="2A676A"/>
          <w:sz w:val="20"/>
          <w:szCs w:val="20"/>
        </w:rPr>
      </w:pPr>
    </w:p>
    <w:p w:rsidR="00457ABD" w:rsidRDefault="00ED1D80">
      <w:pPr>
        <w:rPr>
          <w:rFonts w:ascii="Source Sans Pro" w:eastAsia="Source Sans Pro" w:hAnsi="Source Sans Pro" w:cs="Source Sans Pro"/>
          <w:color w:val="2A676A"/>
          <w:sz w:val="20"/>
          <w:szCs w:val="20"/>
        </w:rPr>
      </w:pPr>
      <w:r>
        <w:rPr>
          <w:rFonts w:ascii="Source Sans Pro" w:eastAsia="Source Sans Pro" w:hAnsi="Source Sans Pro" w:cs="Source Sans Pro"/>
          <w:color w:val="2A676A"/>
          <w:sz w:val="20"/>
          <w:szCs w:val="20"/>
        </w:rPr>
        <w:t>Quatre thématiques (dénommées “Challenges”) avaient été identifiées au début de la démarche, pour collecter les propositions de la commu</w:t>
      </w:r>
      <w:r>
        <w:rPr>
          <w:rFonts w:ascii="Source Sans Pro" w:eastAsia="Source Sans Pro" w:hAnsi="Source Sans Pro" w:cs="Source Sans Pro"/>
          <w:color w:val="2A676A"/>
          <w:sz w:val="20"/>
          <w:szCs w:val="20"/>
        </w:rPr>
        <w:t xml:space="preserve">nauté Recovery : </w:t>
      </w:r>
    </w:p>
    <w:p w:rsidR="00457ABD" w:rsidRDefault="00457ABD">
      <w:pPr>
        <w:ind w:left="720"/>
        <w:rPr>
          <w:rFonts w:ascii="Source Sans Pro" w:eastAsia="Source Sans Pro" w:hAnsi="Source Sans Pro" w:cs="Source Sans Pro"/>
          <w:color w:val="2A676A"/>
          <w:sz w:val="20"/>
          <w:szCs w:val="20"/>
        </w:rPr>
      </w:pPr>
    </w:p>
    <w:p w:rsidR="00457ABD" w:rsidRDefault="00ED1D80">
      <w:pPr>
        <w:numPr>
          <w:ilvl w:val="0"/>
          <w:numId w:val="4"/>
        </w:numPr>
        <w:pBdr>
          <w:top w:val="nil"/>
          <w:left w:val="nil"/>
          <w:bottom w:val="nil"/>
          <w:right w:val="nil"/>
          <w:between w:val="nil"/>
        </w:pBdr>
        <w:rPr>
          <w:rFonts w:ascii="Source Sans Pro" w:eastAsia="Source Sans Pro" w:hAnsi="Source Sans Pro" w:cs="Source Sans Pro"/>
          <w:color w:val="2A676A"/>
          <w:sz w:val="20"/>
          <w:szCs w:val="20"/>
        </w:rPr>
      </w:pPr>
      <w:r>
        <w:rPr>
          <w:rFonts w:ascii="Source Sans Pro" w:eastAsia="Source Sans Pro" w:hAnsi="Source Sans Pro" w:cs="Source Sans Pro"/>
          <w:color w:val="2A676A"/>
          <w:sz w:val="20"/>
          <w:szCs w:val="20"/>
        </w:rPr>
        <w:t>Capitaliser sur les changements positifs (121 propositions émises)</w:t>
      </w:r>
    </w:p>
    <w:p w:rsidR="00457ABD" w:rsidRDefault="00ED1D80">
      <w:pPr>
        <w:numPr>
          <w:ilvl w:val="0"/>
          <w:numId w:val="4"/>
        </w:numPr>
        <w:pBdr>
          <w:top w:val="nil"/>
          <w:left w:val="nil"/>
          <w:bottom w:val="nil"/>
          <w:right w:val="nil"/>
          <w:between w:val="nil"/>
        </w:pBdr>
        <w:rPr>
          <w:rFonts w:ascii="Source Sans Pro" w:eastAsia="Source Sans Pro" w:hAnsi="Source Sans Pro" w:cs="Source Sans Pro"/>
          <w:color w:val="2A676A"/>
          <w:sz w:val="20"/>
          <w:szCs w:val="20"/>
        </w:rPr>
      </w:pPr>
      <w:r>
        <w:rPr>
          <w:rFonts w:ascii="Source Sans Pro" w:eastAsia="Source Sans Pro" w:hAnsi="Source Sans Pro" w:cs="Source Sans Pro"/>
          <w:color w:val="2A676A"/>
          <w:sz w:val="20"/>
          <w:szCs w:val="20"/>
        </w:rPr>
        <w:t>Revisiter les modèles existants (187 propositions émises)</w:t>
      </w:r>
    </w:p>
    <w:p w:rsidR="00457ABD" w:rsidRDefault="00ED1D80">
      <w:pPr>
        <w:numPr>
          <w:ilvl w:val="0"/>
          <w:numId w:val="4"/>
        </w:numPr>
        <w:pBdr>
          <w:top w:val="nil"/>
          <w:left w:val="nil"/>
          <w:bottom w:val="nil"/>
          <w:right w:val="nil"/>
          <w:between w:val="nil"/>
        </w:pBdr>
        <w:rPr>
          <w:rFonts w:ascii="Source Sans Pro" w:eastAsia="Source Sans Pro" w:hAnsi="Source Sans Pro" w:cs="Source Sans Pro"/>
          <w:color w:val="2A676A"/>
          <w:sz w:val="20"/>
          <w:szCs w:val="20"/>
        </w:rPr>
      </w:pPr>
      <w:r>
        <w:rPr>
          <w:rFonts w:ascii="Source Sans Pro" w:eastAsia="Source Sans Pro" w:hAnsi="Source Sans Pro" w:cs="Source Sans Pro"/>
          <w:color w:val="2A676A"/>
          <w:sz w:val="20"/>
          <w:szCs w:val="20"/>
        </w:rPr>
        <w:t>Penser la relance par écosystèmes (81 propositions émises)</w:t>
      </w:r>
    </w:p>
    <w:p w:rsidR="00457ABD" w:rsidRDefault="00ED1D80">
      <w:pPr>
        <w:numPr>
          <w:ilvl w:val="0"/>
          <w:numId w:val="4"/>
        </w:numPr>
        <w:pBdr>
          <w:top w:val="nil"/>
          <w:left w:val="nil"/>
          <w:bottom w:val="nil"/>
          <w:right w:val="nil"/>
          <w:between w:val="nil"/>
        </w:pBdr>
        <w:rPr>
          <w:rFonts w:ascii="Source Sans Pro" w:eastAsia="Source Sans Pro" w:hAnsi="Source Sans Pro" w:cs="Source Sans Pro"/>
          <w:color w:val="2A676A"/>
          <w:sz w:val="20"/>
          <w:szCs w:val="20"/>
        </w:rPr>
      </w:pPr>
      <w:r>
        <w:rPr>
          <w:rFonts w:ascii="Source Sans Pro" w:eastAsia="Source Sans Pro" w:hAnsi="Source Sans Pro" w:cs="Source Sans Pro"/>
          <w:color w:val="2A676A"/>
          <w:sz w:val="20"/>
          <w:szCs w:val="20"/>
        </w:rPr>
        <w:t>Consolider l'engagement sociétal (104 propositions émises)</w:t>
      </w:r>
    </w:p>
    <w:p w:rsidR="00457ABD" w:rsidRDefault="00457ABD">
      <w:pPr>
        <w:pBdr>
          <w:top w:val="nil"/>
          <w:left w:val="nil"/>
          <w:bottom w:val="nil"/>
          <w:right w:val="nil"/>
          <w:between w:val="nil"/>
        </w:pBdr>
        <w:rPr>
          <w:rFonts w:ascii="Source Sans Pro" w:eastAsia="Source Sans Pro" w:hAnsi="Source Sans Pro" w:cs="Source Sans Pro"/>
          <w:color w:val="2A676A"/>
          <w:sz w:val="20"/>
          <w:szCs w:val="20"/>
        </w:rPr>
      </w:pPr>
    </w:p>
    <w:p w:rsidR="00457ABD" w:rsidRDefault="00ED1D80">
      <w:pPr>
        <w:rPr>
          <w:rFonts w:ascii="Source Sans Pro" w:eastAsia="Source Sans Pro" w:hAnsi="Source Sans Pro" w:cs="Source Sans Pro"/>
          <w:color w:val="2A676A"/>
          <w:sz w:val="20"/>
          <w:szCs w:val="20"/>
        </w:rPr>
      </w:pPr>
      <w:r>
        <w:rPr>
          <w:rFonts w:ascii="Source Sans Pro" w:eastAsia="Source Sans Pro" w:hAnsi="Source Sans Pro" w:cs="Source Sans Pro"/>
          <w:color w:val="2A676A"/>
          <w:sz w:val="20"/>
          <w:szCs w:val="20"/>
        </w:rPr>
        <w:t>Ces contributions représentent 24 000 mots environ.</w:t>
      </w:r>
    </w:p>
    <w:p w:rsidR="00457ABD" w:rsidRDefault="00457ABD">
      <w:pPr>
        <w:rPr>
          <w:rFonts w:ascii="Source Sans Pro" w:eastAsia="Source Sans Pro" w:hAnsi="Source Sans Pro" w:cs="Source Sans Pro"/>
          <w:color w:val="2A676A"/>
          <w:sz w:val="20"/>
          <w:szCs w:val="20"/>
        </w:rPr>
      </w:pPr>
    </w:p>
    <w:p w:rsidR="00457ABD" w:rsidRDefault="00ED1D80">
      <w:pPr>
        <w:rPr>
          <w:rFonts w:ascii="Source Sans Pro" w:eastAsia="Source Sans Pro" w:hAnsi="Source Sans Pro" w:cs="Source Sans Pro"/>
          <w:color w:val="2A676A"/>
          <w:sz w:val="20"/>
          <w:szCs w:val="20"/>
        </w:rPr>
      </w:pPr>
      <w:r>
        <w:rPr>
          <w:rFonts w:ascii="Source Sans Pro" w:eastAsia="Source Sans Pro" w:hAnsi="Source Sans Pro" w:cs="Source Sans Pro"/>
          <w:noProof/>
          <w:color w:val="2A676A"/>
          <w:sz w:val="20"/>
          <w:szCs w:val="20"/>
        </w:rPr>
        <w:lastRenderedPageBreak/>
        <w:drawing>
          <wp:inline distT="114300" distB="114300" distL="114300" distR="114300">
            <wp:extent cx="6122850" cy="3517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6122850" cy="3517900"/>
                    </a:xfrm>
                    <a:prstGeom prst="rect">
                      <a:avLst/>
                    </a:prstGeom>
                    <a:ln/>
                  </pic:spPr>
                </pic:pic>
              </a:graphicData>
            </a:graphic>
          </wp:inline>
        </w:drawing>
      </w:r>
    </w:p>
    <w:p w:rsidR="00457ABD" w:rsidRDefault="00457ABD">
      <w:pPr>
        <w:rPr>
          <w:rFonts w:ascii="Source Sans Pro" w:eastAsia="Source Sans Pro" w:hAnsi="Source Sans Pro" w:cs="Source Sans Pro"/>
          <w:color w:val="2A676A"/>
          <w:sz w:val="20"/>
          <w:szCs w:val="20"/>
        </w:rPr>
      </w:pPr>
    </w:p>
    <w:p w:rsidR="00457ABD" w:rsidRDefault="00457ABD">
      <w:pPr>
        <w:rPr>
          <w:rFonts w:ascii="Source Sans Pro" w:eastAsia="Source Sans Pro" w:hAnsi="Source Sans Pro" w:cs="Source Sans Pro"/>
          <w:color w:val="2A676A"/>
          <w:sz w:val="20"/>
          <w:szCs w:val="20"/>
        </w:rPr>
      </w:pPr>
    </w:p>
    <w:p w:rsidR="00457ABD" w:rsidRDefault="00ED1D80">
      <w:pPr>
        <w:pStyle w:val="Titre2"/>
        <w:numPr>
          <w:ilvl w:val="0"/>
          <w:numId w:val="5"/>
        </w:numPr>
        <w:pBdr>
          <w:top w:val="nil"/>
          <w:left w:val="nil"/>
          <w:bottom w:val="nil"/>
          <w:right w:val="nil"/>
          <w:between w:val="nil"/>
        </w:pBdr>
        <w:jc w:val="both"/>
        <w:rPr>
          <w:sz w:val="36"/>
          <w:szCs w:val="36"/>
        </w:rPr>
      </w:pPr>
      <w:bookmarkStart w:id="3" w:name="_ptl6knr8ios2" w:colFirst="0" w:colLast="0"/>
      <w:bookmarkEnd w:id="3"/>
      <w:r>
        <w:rPr>
          <w:sz w:val="36"/>
          <w:szCs w:val="36"/>
        </w:rPr>
        <w:t>Les grands enseignements issus des débats</w:t>
      </w:r>
    </w:p>
    <w:p w:rsidR="00457ABD" w:rsidRDefault="00457ABD"/>
    <w:p w:rsidR="00457ABD" w:rsidRDefault="00ED1D80">
      <w:pPr>
        <w:rPr>
          <w:rFonts w:ascii="Source Sans Pro" w:eastAsia="Source Sans Pro" w:hAnsi="Source Sans Pro" w:cs="Source Sans Pro"/>
          <w:color w:val="2A676A"/>
          <w:sz w:val="20"/>
          <w:szCs w:val="20"/>
        </w:rPr>
      </w:pPr>
      <w:r>
        <w:rPr>
          <w:rFonts w:ascii="Source Sans Pro" w:eastAsia="Source Sans Pro" w:hAnsi="Source Sans Pro" w:cs="Source Sans Pro"/>
          <w:color w:val="2A676A"/>
          <w:sz w:val="20"/>
          <w:szCs w:val="20"/>
        </w:rPr>
        <w:t>Les six débats en ligne ont fait remonter dix grandes idées fortes :</w:t>
      </w:r>
    </w:p>
    <w:p w:rsidR="00457ABD" w:rsidRDefault="00457ABD">
      <w:pPr>
        <w:rPr>
          <w:rFonts w:ascii="Arial" w:eastAsia="Arial" w:hAnsi="Arial" w:cs="Arial"/>
          <w:color w:val="4D5156"/>
          <w:sz w:val="21"/>
          <w:szCs w:val="21"/>
        </w:rPr>
      </w:pPr>
    </w:p>
    <w:p w:rsidR="00457ABD" w:rsidRDefault="00ED1D80">
      <w:pPr>
        <w:numPr>
          <w:ilvl w:val="0"/>
          <w:numId w:val="2"/>
        </w:numPr>
        <w:ind w:left="720"/>
        <w:rPr>
          <w:rFonts w:ascii="Source Sans Pro" w:eastAsia="Source Sans Pro" w:hAnsi="Source Sans Pro" w:cs="Source Sans Pro"/>
          <w:b/>
          <w:color w:val="2A676A"/>
        </w:rPr>
      </w:pPr>
      <w:r>
        <w:rPr>
          <w:rFonts w:ascii="Source Sans Pro" w:eastAsia="Source Sans Pro" w:hAnsi="Source Sans Pro" w:cs="Source Sans Pro"/>
          <w:color w:val="2A676A"/>
          <w:sz w:val="20"/>
          <w:szCs w:val="20"/>
        </w:rPr>
        <w:t xml:space="preserve">Le fait que </w:t>
      </w:r>
      <w:r>
        <w:rPr>
          <w:rFonts w:ascii="Source Sans Pro" w:eastAsia="Source Sans Pro" w:hAnsi="Source Sans Pro" w:cs="Source Sans Pro"/>
          <w:b/>
          <w:color w:val="2A676A"/>
          <w:sz w:val="20"/>
          <w:szCs w:val="20"/>
        </w:rPr>
        <w:t>la crise actuelle est un prototype de la crise climatique à venir</w:t>
      </w:r>
      <w:r>
        <w:rPr>
          <w:rFonts w:ascii="Source Sans Pro" w:eastAsia="Source Sans Pro" w:hAnsi="Source Sans Pro" w:cs="Source Sans Pro"/>
          <w:color w:val="2A676A"/>
          <w:sz w:val="20"/>
          <w:szCs w:val="20"/>
        </w:rPr>
        <w:t>. Face à des enjeux aussi élevés, la réponse à apporter doit être différente tant en termes de quantité et de</w:t>
      </w:r>
      <w:r>
        <w:rPr>
          <w:rFonts w:ascii="Source Sans Pro" w:eastAsia="Source Sans Pro" w:hAnsi="Source Sans Pro" w:cs="Source Sans Pro"/>
          <w:color w:val="2A676A"/>
          <w:sz w:val="20"/>
          <w:szCs w:val="20"/>
        </w:rPr>
        <w:t xml:space="preserve"> radicalité qu’en termes d’outils utilisés [débat 3].</w:t>
      </w:r>
    </w:p>
    <w:p w:rsidR="00457ABD" w:rsidRDefault="00457ABD">
      <w:pPr>
        <w:ind w:left="1440"/>
        <w:rPr>
          <w:rFonts w:ascii="Source Sans Pro" w:eastAsia="Source Sans Pro" w:hAnsi="Source Sans Pro" w:cs="Source Sans Pro"/>
          <w:color w:val="2A676A"/>
          <w:sz w:val="20"/>
          <w:szCs w:val="20"/>
        </w:rPr>
      </w:pPr>
    </w:p>
    <w:p w:rsidR="00457ABD" w:rsidRDefault="00ED1D80">
      <w:pPr>
        <w:numPr>
          <w:ilvl w:val="0"/>
          <w:numId w:val="2"/>
        </w:numPr>
        <w:pBdr>
          <w:top w:val="nil"/>
          <w:left w:val="nil"/>
          <w:bottom w:val="nil"/>
          <w:right w:val="nil"/>
          <w:between w:val="nil"/>
        </w:pBdr>
        <w:ind w:left="720"/>
        <w:rPr>
          <w:rFonts w:ascii="Source Sans Pro" w:eastAsia="Source Sans Pro" w:hAnsi="Source Sans Pro" w:cs="Source Sans Pro"/>
          <w:b/>
          <w:color w:val="2A676A"/>
        </w:rPr>
      </w:pPr>
      <w:r>
        <w:rPr>
          <w:rFonts w:ascii="Source Sans Pro" w:eastAsia="Source Sans Pro" w:hAnsi="Source Sans Pro" w:cs="Source Sans Pro"/>
          <w:b/>
          <w:color w:val="2A676A"/>
          <w:sz w:val="20"/>
          <w:szCs w:val="20"/>
        </w:rPr>
        <w:t>Le besoin de réévaluer les chaînes de valeur et d’imaginer des écosystèmes vertueux</w:t>
      </w:r>
      <w:r>
        <w:rPr>
          <w:rFonts w:ascii="Source Sans Pro" w:eastAsia="Source Sans Pro" w:hAnsi="Source Sans Pro" w:cs="Source Sans Pro"/>
          <w:color w:val="2A676A"/>
          <w:sz w:val="20"/>
          <w:szCs w:val="20"/>
        </w:rPr>
        <w:t xml:space="preserve">. Il s'agit de trouver un nouvel équilibre entre global et local et de distinguer les activités à caractère essentiel </w:t>
      </w:r>
      <w:r>
        <w:rPr>
          <w:rFonts w:ascii="Source Sans Pro" w:eastAsia="Source Sans Pro" w:hAnsi="Source Sans Pro" w:cs="Source Sans Pro"/>
          <w:color w:val="2A676A"/>
          <w:sz w:val="20"/>
          <w:szCs w:val="20"/>
        </w:rPr>
        <w:t>[débat 1].</w:t>
      </w:r>
    </w:p>
    <w:p w:rsidR="00457ABD" w:rsidRDefault="00457ABD">
      <w:pPr>
        <w:pBdr>
          <w:top w:val="nil"/>
          <w:left w:val="nil"/>
          <w:bottom w:val="nil"/>
          <w:right w:val="nil"/>
          <w:between w:val="nil"/>
        </w:pBdr>
        <w:ind w:left="1440"/>
        <w:rPr>
          <w:rFonts w:ascii="Source Sans Pro" w:eastAsia="Source Sans Pro" w:hAnsi="Source Sans Pro" w:cs="Source Sans Pro"/>
          <w:color w:val="2A676A"/>
          <w:sz w:val="20"/>
          <w:szCs w:val="20"/>
        </w:rPr>
      </w:pPr>
    </w:p>
    <w:p w:rsidR="00457ABD" w:rsidRDefault="00ED1D80">
      <w:pPr>
        <w:numPr>
          <w:ilvl w:val="0"/>
          <w:numId w:val="2"/>
        </w:numPr>
        <w:pBdr>
          <w:top w:val="nil"/>
          <w:left w:val="nil"/>
          <w:bottom w:val="nil"/>
          <w:right w:val="nil"/>
          <w:between w:val="nil"/>
        </w:pBdr>
        <w:ind w:left="720"/>
        <w:rPr>
          <w:rFonts w:ascii="Source Sans Pro" w:eastAsia="Source Sans Pro" w:hAnsi="Source Sans Pro" w:cs="Source Sans Pro"/>
          <w:b/>
          <w:color w:val="2A676A"/>
        </w:rPr>
      </w:pPr>
      <w:r>
        <w:rPr>
          <w:rFonts w:ascii="Source Sans Pro" w:eastAsia="Source Sans Pro" w:hAnsi="Source Sans Pro" w:cs="Source Sans Pro"/>
          <w:b/>
          <w:color w:val="2A676A"/>
          <w:sz w:val="20"/>
          <w:szCs w:val="20"/>
        </w:rPr>
        <w:t>L’importance de lutter contre la désindustrialisation de la France</w:t>
      </w:r>
      <w:r>
        <w:rPr>
          <w:rFonts w:ascii="Source Sans Pro" w:eastAsia="Source Sans Pro" w:hAnsi="Source Sans Pro" w:cs="Source Sans Pro"/>
          <w:color w:val="2A676A"/>
          <w:sz w:val="20"/>
          <w:szCs w:val="20"/>
        </w:rPr>
        <w:t xml:space="preserve">, afin de </w:t>
      </w:r>
      <w:r>
        <w:rPr>
          <w:rFonts w:ascii="Source Sans Pro" w:eastAsia="Source Sans Pro" w:hAnsi="Source Sans Pro" w:cs="Source Sans Pro"/>
          <w:b/>
          <w:color w:val="2A676A"/>
          <w:sz w:val="20"/>
          <w:szCs w:val="20"/>
        </w:rPr>
        <w:t>relocaliser</w:t>
      </w:r>
      <w:r>
        <w:rPr>
          <w:rFonts w:ascii="Source Sans Pro" w:eastAsia="Source Sans Pro" w:hAnsi="Source Sans Pro" w:cs="Source Sans Pro"/>
          <w:color w:val="2A676A"/>
          <w:sz w:val="20"/>
          <w:szCs w:val="20"/>
        </w:rPr>
        <w:t xml:space="preserve"> une partie des activités stratégiques, en en assumant les coûts [débat 2].</w:t>
      </w:r>
    </w:p>
    <w:p w:rsidR="00457ABD" w:rsidRDefault="00457ABD">
      <w:pPr>
        <w:pBdr>
          <w:top w:val="nil"/>
          <w:left w:val="nil"/>
          <w:bottom w:val="nil"/>
          <w:right w:val="nil"/>
          <w:between w:val="nil"/>
        </w:pBdr>
        <w:ind w:left="1440"/>
        <w:rPr>
          <w:rFonts w:ascii="Source Sans Pro" w:eastAsia="Source Sans Pro" w:hAnsi="Source Sans Pro" w:cs="Source Sans Pro"/>
          <w:color w:val="2A676A"/>
          <w:sz w:val="20"/>
          <w:szCs w:val="20"/>
        </w:rPr>
      </w:pPr>
    </w:p>
    <w:p w:rsidR="00457ABD" w:rsidRDefault="00ED1D80">
      <w:pPr>
        <w:numPr>
          <w:ilvl w:val="0"/>
          <w:numId w:val="2"/>
        </w:numPr>
        <w:ind w:left="720"/>
        <w:rPr>
          <w:rFonts w:ascii="Source Sans Pro" w:eastAsia="Source Sans Pro" w:hAnsi="Source Sans Pro" w:cs="Source Sans Pro"/>
          <w:b/>
          <w:color w:val="2A676A"/>
        </w:rPr>
      </w:pPr>
      <w:r>
        <w:rPr>
          <w:rFonts w:ascii="Source Sans Pro" w:eastAsia="Source Sans Pro" w:hAnsi="Source Sans Pro" w:cs="Source Sans Pro"/>
          <w:b/>
          <w:color w:val="2A676A"/>
          <w:sz w:val="20"/>
          <w:szCs w:val="20"/>
        </w:rPr>
        <w:t>La nécessité de développer l'adaptabilité, la résilience, l'anti-fragilité pour penser une croissance de long terme</w:t>
      </w:r>
      <w:r>
        <w:rPr>
          <w:rFonts w:ascii="Source Sans Pro" w:eastAsia="Source Sans Pro" w:hAnsi="Source Sans Pro" w:cs="Source Sans Pro"/>
          <w:color w:val="2A676A"/>
          <w:sz w:val="20"/>
          <w:szCs w:val="20"/>
        </w:rPr>
        <w:t xml:space="preserve"> et de rendre plus réel et visible au sein de nos sociétés la conscience de l'intérêt général, du collectif [débat 1].</w:t>
      </w:r>
    </w:p>
    <w:p w:rsidR="00457ABD" w:rsidRDefault="00457ABD">
      <w:pPr>
        <w:ind w:left="1440"/>
        <w:rPr>
          <w:rFonts w:ascii="Source Sans Pro" w:eastAsia="Source Sans Pro" w:hAnsi="Source Sans Pro" w:cs="Source Sans Pro"/>
          <w:color w:val="2A676A"/>
          <w:sz w:val="20"/>
          <w:szCs w:val="20"/>
        </w:rPr>
      </w:pPr>
    </w:p>
    <w:p w:rsidR="00457ABD" w:rsidRDefault="00ED1D80">
      <w:pPr>
        <w:numPr>
          <w:ilvl w:val="0"/>
          <w:numId w:val="2"/>
        </w:numPr>
        <w:ind w:left="720"/>
        <w:rPr>
          <w:rFonts w:ascii="Source Sans Pro" w:eastAsia="Source Sans Pro" w:hAnsi="Source Sans Pro" w:cs="Source Sans Pro"/>
          <w:b/>
          <w:color w:val="2A676A"/>
        </w:rPr>
      </w:pPr>
      <w:r>
        <w:rPr>
          <w:rFonts w:ascii="Source Sans Pro" w:eastAsia="Source Sans Pro" w:hAnsi="Source Sans Pro" w:cs="Source Sans Pro"/>
          <w:color w:val="2A676A"/>
          <w:sz w:val="20"/>
          <w:szCs w:val="20"/>
        </w:rPr>
        <w:t xml:space="preserve">Le </w:t>
      </w:r>
      <w:proofErr w:type="gramStart"/>
      <w:r>
        <w:rPr>
          <w:rFonts w:ascii="Source Sans Pro" w:eastAsia="Source Sans Pro" w:hAnsi="Source Sans Pro" w:cs="Source Sans Pro"/>
          <w:color w:val="2A676A"/>
          <w:sz w:val="20"/>
          <w:szCs w:val="20"/>
        </w:rPr>
        <w:t>constat  que</w:t>
      </w:r>
      <w:proofErr w:type="gramEnd"/>
      <w:r>
        <w:rPr>
          <w:rFonts w:ascii="Source Sans Pro" w:eastAsia="Source Sans Pro" w:hAnsi="Source Sans Pro" w:cs="Source Sans Pro"/>
          <w:color w:val="2A676A"/>
          <w:sz w:val="20"/>
          <w:szCs w:val="20"/>
        </w:rPr>
        <w:t xml:space="preserve"> cette</w:t>
      </w:r>
      <w:r>
        <w:rPr>
          <w:rFonts w:ascii="Source Sans Pro" w:eastAsia="Source Sans Pro" w:hAnsi="Source Sans Pro" w:cs="Source Sans Pro"/>
          <w:color w:val="2A676A"/>
          <w:sz w:val="20"/>
          <w:szCs w:val="20"/>
        </w:rPr>
        <w:t xml:space="preserve"> crise est aussi</w:t>
      </w:r>
      <w:r>
        <w:rPr>
          <w:rFonts w:ascii="Source Sans Pro" w:eastAsia="Source Sans Pro" w:hAnsi="Source Sans Pro" w:cs="Source Sans Pro"/>
          <w:b/>
          <w:color w:val="2A676A"/>
          <w:sz w:val="20"/>
          <w:szCs w:val="20"/>
        </w:rPr>
        <w:t xml:space="preserve"> un révélateur de l’importance des écosystèmes et du collectif</w:t>
      </w:r>
      <w:r>
        <w:rPr>
          <w:rFonts w:ascii="Source Sans Pro" w:eastAsia="Source Sans Pro" w:hAnsi="Source Sans Pro" w:cs="Source Sans Pro"/>
          <w:color w:val="2A676A"/>
          <w:sz w:val="20"/>
          <w:szCs w:val="20"/>
        </w:rPr>
        <w:t>, facteurs de résilience et de solidarités face aux difficultés [débat 3].</w:t>
      </w:r>
    </w:p>
    <w:p w:rsidR="00457ABD" w:rsidRDefault="00457ABD">
      <w:pPr>
        <w:ind w:left="1440"/>
        <w:rPr>
          <w:rFonts w:ascii="Source Sans Pro" w:eastAsia="Source Sans Pro" w:hAnsi="Source Sans Pro" w:cs="Source Sans Pro"/>
          <w:color w:val="2A676A"/>
          <w:sz w:val="20"/>
          <w:szCs w:val="20"/>
        </w:rPr>
      </w:pPr>
    </w:p>
    <w:p w:rsidR="00457ABD" w:rsidRDefault="00ED1D80">
      <w:pPr>
        <w:numPr>
          <w:ilvl w:val="0"/>
          <w:numId w:val="2"/>
        </w:numPr>
        <w:ind w:left="720"/>
        <w:rPr>
          <w:rFonts w:ascii="Source Sans Pro" w:eastAsia="Source Sans Pro" w:hAnsi="Source Sans Pro" w:cs="Source Sans Pro"/>
          <w:b/>
          <w:color w:val="2A676A"/>
        </w:rPr>
      </w:pPr>
      <w:r>
        <w:rPr>
          <w:rFonts w:ascii="Source Sans Pro" w:eastAsia="Source Sans Pro" w:hAnsi="Source Sans Pro" w:cs="Source Sans Pro"/>
          <w:b/>
          <w:color w:val="2A676A"/>
          <w:sz w:val="20"/>
          <w:szCs w:val="20"/>
        </w:rPr>
        <w:t xml:space="preserve">L'intérêt de l’économie circulaire et des circuits courts dans la résilience des territoires </w:t>
      </w:r>
      <w:r>
        <w:rPr>
          <w:rFonts w:ascii="Source Sans Pro" w:eastAsia="Source Sans Pro" w:hAnsi="Source Sans Pro" w:cs="Source Sans Pro"/>
          <w:color w:val="2A676A"/>
          <w:sz w:val="20"/>
          <w:szCs w:val="20"/>
        </w:rPr>
        <w:t>(attracti</w:t>
      </w:r>
      <w:r>
        <w:rPr>
          <w:rFonts w:ascii="Source Sans Pro" w:eastAsia="Source Sans Pro" w:hAnsi="Source Sans Pro" w:cs="Source Sans Pro"/>
          <w:color w:val="2A676A"/>
          <w:sz w:val="20"/>
          <w:szCs w:val="20"/>
        </w:rPr>
        <w:t>vité, capacité productive, souveraineté, autonomie, effet multiplicateur, écologie...) [débat 2].</w:t>
      </w:r>
    </w:p>
    <w:p w:rsidR="00457ABD" w:rsidRDefault="00457ABD">
      <w:pPr>
        <w:ind w:left="1440"/>
        <w:rPr>
          <w:rFonts w:ascii="Source Sans Pro" w:eastAsia="Source Sans Pro" w:hAnsi="Source Sans Pro" w:cs="Source Sans Pro"/>
          <w:color w:val="2A676A"/>
          <w:sz w:val="20"/>
          <w:szCs w:val="20"/>
        </w:rPr>
      </w:pPr>
    </w:p>
    <w:p w:rsidR="00457ABD" w:rsidRDefault="00ED1D80">
      <w:pPr>
        <w:numPr>
          <w:ilvl w:val="0"/>
          <w:numId w:val="2"/>
        </w:numPr>
        <w:ind w:left="720"/>
        <w:rPr>
          <w:rFonts w:ascii="Source Sans Pro" w:eastAsia="Source Sans Pro" w:hAnsi="Source Sans Pro" w:cs="Source Sans Pro"/>
          <w:b/>
          <w:color w:val="2A676A"/>
        </w:rPr>
      </w:pPr>
      <w:r>
        <w:rPr>
          <w:rFonts w:ascii="Source Sans Pro" w:eastAsia="Source Sans Pro" w:hAnsi="Source Sans Pro" w:cs="Source Sans Pro"/>
          <w:b/>
          <w:color w:val="2A676A"/>
          <w:sz w:val="20"/>
          <w:szCs w:val="20"/>
        </w:rPr>
        <w:t>L’enjeu de la mesure de l’engagement des entreprises</w:t>
      </w:r>
      <w:r>
        <w:rPr>
          <w:rFonts w:ascii="Source Sans Pro" w:eastAsia="Source Sans Pro" w:hAnsi="Source Sans Pro" w:cs="Source Sans Pro"/>
          <w:color w:val="2A676A"/>
          <w:sz w:val="20"/>
          <w:szCs w:val="20"/>
        </w:rPr>
        <w:t>, à la fois pour évaluer concrètement leur impact environnemental et social, mais aussi pour pouvoir démo</w:t>
      </w:r>
      <w:r>
        <w:rPr>
          <w:rFonts w:ascii="Source Sans Pro" w:eastAsia="Source Sans Pro" w:hAnsi="Source Sans Pro" w:cs="Source Sans Pro"/>
          <w:color w:val="2A676A"/>
          <w:sz w:val="20"/>
          <w:szCs w:val="20"/>
        </w:rPr>
        <w:t>ntrer que les modèles plus vertueux sont aussi source de performance accrue pour l’entreprise et ses parties prenantes [débat 4].</w:t>
      </w:r>
    </w:p>
    <w:p w:rsidR="00457ABD" w:rsidRDefault="00457ABD">
      <w:pPr>
        <w:ind w:left="1440"/>
        <w:rPr>
          <w:rFonts w:ascii="Source Sans Pro" w:eastAsia="Source Sans Pro" w:hAnsi="Source Sans Pro" w:cs="Source Sans Pro"/>
          <w:color w:val="2A676A"/>
          <w:sz w:val="20"/>
          <w:szCs w:val="20"/>
        </w:rPr>
      </w:pPr>
    </w:p>
    <w:p w:rsidR="00457ABD" w:rsidRDefault="00ED1D80">
      <w:pPr>
        <w:numPr>
          <w:ilvl w:val="0"/>
          <w:numId w:val="2"/>
        </w:numPr>
        <w:ind w:left="720"/>
        <w:rPr>
          <w:rFonts w:ascii="Source Sans Pro" w:eastAsia="Source Sans Pro" w:hAnsi="Source Sans Pro" w:cs="Source Sans Pro"/>
          <w:b/>
          <w:color w:val="2A676A"/>
        </w:rPr>
      </w:pPr>
      <w:r>
        <w:rPr>
          <w:rFonts w:ascii="Source Sans Pro" w:eastAsia="Source Sans Pro" w:hAnsi="Source Sans Pro" w:cs="Source Sans Pro"/>
          <w:b/>
          <w:color w:val="2A676A"/>
          <w:sz w:val="20"/>
          <w:szCs w:val="20"/>
        </w:rPr>
        <w:t>La nécessité de déployer des indicateurs extra-financiers harmonisés à l’échelle européenne</w:t>
      </w:r>
      <w:r>
        <w:rPr>
          <w:rFonts w:ascii="Source Sans Pro" w:eastAsia="Source Sans Pro" w:hAnsi="Source Sans Pro" w:cs="Source Sans Pro"/>
          <w:color w:val="2A676A"/>
          <w:sz w:val="20"/>
          <w:szCs w:val="20"/>
        </w:rPr>
        <w:t>, afin de quantifier et de rendre tangibles l’avancée des entreprises vers des modèles plus vertueux [débat 4].</w:t>
      </w:r>
    </w:p>
    <w:p w:rsidR="00457ABD" w:rsidRDefault="00457ABD">
      <w:pPr>
        <w:rPr>
          <w:rFonts w:ascii="Source Sans Pro" w:eastAsia="Source Sans Pro" w:hAnsi="Source Sans Pro" w:cs="Source Sans Pro"/>
          <w:color w:val="2A676A"/>
          <w:sz w:val="20"/>
          <w:szCs w:val="20"/>
        </w:rPr>
      </w:pPr>
    </w:p>
    <w:p w:rsidR="00457ABD" w:rsidRDefault="00ED1D80">
      <w:pPr>
        <w:numPr>
          <w:ilvl w:val="0"/>
          <w:numId w:val="2"/>
        </w:numPr>
        <w:ind w:left="720"/>
        <w:rPr>
          <w:rFonts w:ascii="Source Sans Pro" w:eastAsia="Source Sans Pro" w:hAnsi="Source Sans Pro" w:cs="Source Sans Pro"/>
          <w:b/>
          <w:color w:val="2A676A"/>
        </w:rPr>
      </w:pPr>
      <w:r>
        <w:rPr>
          <w:rFonts w:ascii="Source Sans Pro" w:eastAsia="Source Sans Pro" w:hAnsi="Source Sans Pro" w:cs="Source Sans Pro"/>
          <w:b/>
          <w:color w:val="2A676A"/>
          <w:sz w:val="20"/>
          <w:szCs w:val="20"/>
        </w:rPr>
        <w:lastRenderedPageBreak/>
        <w:t>Le rôle central de l’investissement et du financemen</w:t>
      </w:r>
      <w:r>
        <w:rPr>
          <w:rFonts w:ascii="Source Sans Pro" w:eastAsia="Source Sans Pro" w:hAnsi="Source Sans Pro" w:cs="Source Sans Pro"/>
          <w:b/>
          <w:color w:val="2A676A"/>
          <w:sz w:val="20"/>
          <w:szCs w:val="20"/>
        </w:rPr>
        <w:t>t de la transition</w:t>
      </w:r>
      <w:r>
        <w:rPr>
          <w:rFonts w:ascii="Source Sans Pro" w:eastAsia="Source Sans Pro" w:hAnsi="Source Sans Pro" w:cs="Source Sans Pro"/>
          <w:color w:val="2A676A"/>
          <w:sz w:val="20"/>
          <w:szCs w:val="20"/>
        </w:rPr>
        <w:t xml:space="preserve"> : il est crucial que les marchés puissent être au service d’un changement de modèle [débat 5].</w:t>
      </w:r>
    </w:p>
    <w:p w:rsidR="00457ABD" w:rsidRDefault="00457ABD">
      <w:pPr>
        <w:ind w:left="1440"/>
        <w:rPr>
          <w:rFonts w:ascii="Source Sans Pro" w:eastAsia="Source Sans Pro" w:hAnsi="Source Sans Pro" w:cs="Source Sans Pro"/>
          <w:color w:val="2A676A"/>
          <w:sz w:val="20"/>
          <w:szCs w:val="20"/>
        </w:rPr>
      </w:pPr>
    </w:p>
    <w:p w:rsidR="00457ABD" w:rsidRDefault="00ED1D80">
      <w:pPr>
        <w:numPr>
          <w:ilvl w:val="0"/>
          <w:numId w:val="2"/>
        </w:numPr>
        <w:ind w:left="720"/>
        <w:rPr>
          <w:rFonts w:ascii="Source Sans Pro" w:eastAsia="Source Sans Pro" w:hAnsi="Source Sans Pro" w:cs="Source Sans Pro"/>
          <w:b/>
          <w:color w:val="2A676A"/>
        </w:rPr>
      </w:pPr>
      <w:r>
        <w:rPr>
          <w:rFonts w:ascii="Source Sans Pro" w:eastAsia="Source Sans Pro" w:hAnsi="Source Sans Pro" w:cs="Source Sans Pro"/>
          <w:color w:val="2A676A"/>
          <w:sz w:val="20"/>
          <w:szCs w:val="20"/>
        </w:rPr>
        <w:t>La conviction qu’</w:t>
      </w:r>
      <w:r>
        <w:rPr>
          <w:rFonts w:ascii="Source Sans Pro" w:eastAsia="Source Sans Pro" w:hAnsi="Source Sans Pro" w:cs="Source Sans Pro"/>
          <w:b/>
          <w:color w:val="2A676A"/>
          <w:sz w:val="20"/>
          <w:szCs w:val="20"/>
        </w:rPr>
        <w:t>il n’y aura pas de “monde d’après</w:t>
      </w:r>
      <w:proofErr w:type="gramStart"/>
      <w:r>
        <w:rPr>
          <w:rFonts w:ascii="Source Sans Pro" w:eastAsia="Source Sans Pro" w:hAnsi="Source Sans Pro" w:cs="Source Sans Pro"/>
          <w:b/>
          <w:color w:val="2A676A"/>
          <w:sz w:val="20"/>
          <w:szCs w:val="20"/>
        </w:rPr>
        <w:t>”  sans</w:t>
      </w:r>
      <w:proofErr w:type="gramEnd"/>
      <w:r>
        <w:rPr>
          <w:rFonts w:ascii="Source Sans Pro" w:eastAsia="Source Sans Pro" w:hAnsi="Source Sans Pro" w:cs="Source Sans Pro"/>
          <w:b/>
          <w:color w:val="2A676A"/>
          <w:sz w:val="20"/>
          <w:szCs w:val="20"/>
        </w:rPr>
        <w:t xml:space="preserve"> l’union des différentes forces et parties prenantes</w:t>
      </w:r>
      <w:r>
        <w:rPr>
          <w:rFonts w:ascii="Source Sans Pro" w:eastAsia="Source Sans Pro" w:hAnsi="Source Sans Pro" w:cs="Source Sans Pro"/>
          <w:color w:val="2A676A"/>
          <w:sz w:val="20"/>
          <w:szCs w:val="20"/>
        </w:rPr>
        <w:t xml:space="preserve"> : les modes de la coalition et </w:t>
      </w:r>
      <w:r>
        <w:rPr>
          <w:rFonts w:ascii="Source Sans Pro" w:eastAsia="Source Sans Pro" w:hAnsi="Source Sans Pro" w:cs="Source Sans Pro"/>
          <w:color w:val="2A676A"/>
          <w:sz w:val="20"/>
          <w:szCs w:val="20"/>
        </w:rPr>
        <w:t>de la collaboration ne sont plus des options [débat 5].</w:t>
      </w:r>
    </w:p>
    <w:p w:rsidR="00457ABD" w:rsidRDefault="00457ABD">
      <w:pPr>
        <w:rPr>
          <w:rFonts w:ascii="Source Sans Pro" w:eastAsia="Source Sans Pro" w:hAnsi="Source Sans Pro" w:cs="Source Sans Pro"/>
          <w:color w:val="2A676A"/>
          <w:sz w:val="20"/>
          <w:szCs w:val="20"/>
        </w:rPr>
      </w:pPr>
    </w:p>
    <w:p w:rsidR="00457ABD" w:rsidRDefault="00ED1D80">
      <w:pPr>
        <w:pStyle w:val="Titre2"/>
        <w:numPr>
          <w:ilvl w:val="0"/>
          <w:numId w:val="5"/>
        </w:numPr>
        <w:pBdr>
          <w:top w:val="nil"/>
          <w:left w:val="nil"/>
          <w:bottom w:val="nil"/>
          <w:right w:val="nil"/>
          <w:between w:val="nil"/>
        </w:pBdr>
        <w:jc w:val="both"/>
        <w:rPr>
          <w:sz w:val="36"/>
          <w:szCs w:val="36"/>
        </w:rPr>
      </w:pPr>
      <w:bookmarkStart w:id="4" w:name="_hhphy1u40sjr" w:colFirst="0" w:colLast="0"/>
      <w:bookmarkEnd w:id="4"/>
      <w:r>
        <w:rPr>
          <w:sz w:val="36"/>
          <w:szCs w:val="36"/>
        </w:rPr>
        <w:t>Les pistes d’engagement pour les entreprises</w:t>
      </w:r>
    </w:p>
    <w:p w:rsidR="00457ABD" w:rsidRDefault="00457ABD">
      <w:pPr>
        <w:rPr>
          <w:rFonts w:ascii="Source Sans Pro" w:eastAsia="Source Sans Pro" w:hAnsi="Source Sans Pro" w:cs="Source Sans Pro"/>
          <w:color w:val="2A676A"/>
          <w:sz w:val="20"/>
          <w:szCs w:val="20"/>
        </w:rPr>
      </w:pPr>
    </w:p>
    <w:p w:rsidR="00457ABD" w:rsidRDefault="00ED1D80">
      <w:pPr>
        <w:rPr>
          <w:rFonts w:ascii="Source Sans Pro" w:eastAsia="Source Sans Pro" w:hAnsi="Source Sans Pro" w:cs="Source Sans Pro"/>
          <w:color w:val="2A676A"/>
          <w:sz w:val="20"/>
          <w:szCs w:val="20"/>
        </w:rPr>
      </w:pPr>
      <w:r>
        <w:rPr>
          <w:rFonts w:ascii="Source Sans Pro" w:eastAsia="Source Sans Pro" w:hAnsi="Source Sans Pro" w:cs="Source Sans Pro"/>
          <w:color w:val="2A676A"/>
          <w:sz w:val="20"/>
          <w:szCs w:val="20"/>
        </w:rPr>
        <w:t>Dans la lignée des sujets débattus par les grands témoins, les 493 propositions émises par les membres de la plateforme collaborative Braineet, sont nomb</w:t>
      </w:r>
      <w:r>
        <w:rPr>
          <w:rFonts w:ascii="Source Sans Pro" w:eastAsia="Source Sans Pro" w:hAnsi="Source Sans Pro" w:cs="Source Sans Pro"/>
          <w:color w:val="2A676A"/>
          <w:sz w:val="20"/>
          <w:szCs w:val="20"/>
        </w:rPr>
        <w:t xml:space="preserve">reuses à être orientées directement vers les entreprises. </w:t>
      </w:r>
    </w:p>
    <w:p w:rsidR="00457ABD" w:rsidRDefault="00457ABD">
      <w:pPr>
        <w:rPr>
          <w:rFonts w:ascii="Source Sans Pro" w:eastAsia="Source Sans Pro" w:hAnsi="Source Sans Pro" w:cs="Source Sans Pro"/>
          <w:color w:val="2A676A"/>
          <w:sz w:val="20"/>
          <w:szCs w:val="20"/>
        </w:rPr>
      </w:pPr>
    </w:p>
    <w:p w:rsidR="00457ABD" w:rsidRDefault="00ED1D80">
      <w:pPr>
        <w:rPr>
          <w:rFonts w:ascii="Source Sans Pro" w:eastAsia="Source Sans Pro" w:hAnsi="Source Sans Pro" w:cs="Source Sans Pro"/>
          <w:color w:val="2A676A"/>
          <w:sz w:val="20"/>
          <w:szCs w:val="20"/>
        </w:rPr>
      </w:pPr>
      <w:r>
        <w:rPr>
          <w:rFonts w:ascii="Source Sans Pro" w:eastAsia="Source Sans Pro" w:hAnsi="Source Sans Pro" w:cs="Source Sans Pro"/>
          <w:color w:val="2A676A"/>
          <w:sz w:val="20"/>
          <w:szCs w:val="20"/>
        </w:rPr>
        <w:t xml:space="preserve">Sept attentes fortes de la communauté, sur lesquelles les entreprises sont appelées à prendre positions, sont à prendre en </w:t>
      </w:r>
      <w:proofErr w:type="gramStart"/>
      <w:r>
        <w:rPr>
          <w:rFonts w:ascii="Source Sans Pro" w:eastAsia="Source Sans Pro" w:hAnsi="Source Sans Pro" w:cs="Source Sans Pro"/>
          <w:color w:val="2A676A"/>
          <w:sz w:val="20"/>
          <w:szCs w:val="20"/>
        </w:rPr>
        <w:t>compte  :</w:t>
      </w:r>
      <w:proofErr w:type="gramEnd"/>
    </w:p>
    <w:p w:rsidR="00457ABD" w:rsidRDefault="00457ABD">
      <w:pPr>
        <w:rPr>
          <w:rFonts w:ascii="Source Sans Pro" w:eastAsia="Source Sans Pro" w:hAnsi="Source Sans Pro" w:cs="Source Sans Pro"/>
          <w:color w:val="2A676A"/>
          <w:sz w:val="20"/>
          <w:szCs w:val="20"/>
        </w:rPr>
      </w:pPr>
    </w:p>
    <w:p w:rsidR="00457ABD" w:rsidRDefault="00ED1D80">
      <w:pPr>
        <w:numPr>
          <w:ilvl w:val="0"/>
          <w:numId w:val="3"/>
        </w:numPr>
        <w:pBdr>
          <w:top w:val="nil"/>
          <w:left w:val="nil"/>
          <w:bottom w:val="nil"/>
          <w:right w:val="nil"/>
          <w:between w:val="nil"/>
        </w:pBdr>
        <w:rPr>
          <w:rFonts w:ascii="Source Sans Pro" w:eastAsia="Source Sans Pro" w:hAnsi="Source Sans Pro" w:cs="Source Sans Pro"/>
          <w:b/>
          <w:color w:val="2A676A"/>
          <w:sz w:val="20"/>
          <w:szCs w:val="20"/>
        </w:rPr>
      </w:pPr>
      <w:r>
        <w:rPr>
          <w:rFonts w:ascii="Source Sans Pro" w:eastAsia="Source Sans Pro" w:hAnsi="Source Sans Pro" w:cs="Source Sans Pro"/>
          <w:b/>
          <w:color w:val="2A676A"/>
          <w:sz w:val="20"/>
          <w:szCs w:val="20"/>
        </w:rPr>
        <w:t>Généraliser le télétravail et les réunions à distance</w:t>
      </w:r>
      <w:r>
        <w:rPr>
          <w:rFonts w:ascii="Source Sans Pro" w:eastAsia="Source Sans Pro" w:hAnsi="Source Sans Pro" w:cs="Source Sans Pro"/>
          <w:color w:val="2A676A"/>
          <w:sz w:val="20"/>
          <w:szCs w:val="20"/>
        </w:rPr>
        <w:t xml:space="preserve"> : à l’he</w:t>
      </w:r>
      <w:r>
        <w:rPr>
          <w:rFonts w:ascii="Source Sans Pro" w:eastAsia="Source Sans Pro" w:hAnsi="Source Sans Pro" w:cs="Source Sans Pro"/>
          <w:color w:val="2A676A"/>
          <w:sz w:val="20"/>
          <w:szCs w:val="20"/>
        </w:rPr>
        <w:t xml:space="preserve">ure </w:t>
      </w:r>
      <w:proofErr w:type="gramStart"/>
      <w:r>
        <w:rPr>
          <w:rFonts w:ascii="Source Sans Pro" w:eastAsia="Source Sans Pro" w:hAnsi="Source Sans Pro" w:cs="Source Sans Pro"/>
          <w:color w:val="2A676A"/>
          <w:sz w:val="20"/>
          <w:szCs w:val="20"/>
        </w:rPr>
        <w:t>où  les</w:t>
      </w:r>
      <w:proofErr w:type="gramEnd"/>
      <w:r>
        <w:rPr>
          <w:rFonts w:ascii="Source Sans Pro" w:eastAsia="Source Sans Pro" w:hAnsi="Source Sans Pro" w:cs="Source Sans Pro"/>
          <w:color w:val="2A676A"/>
          <w:sz w:val="20"/>
          <w:szCs w:val="20"/>
        </w:rPr>
        <w:t xml:space="preserve"> usages du télétravail, des visioconférences et des réunions virtuelles se  sont développés avec le confinement, ils  peuvent être des leviers pour diminuer l’impact environnemental de l’activité des entreprises (réduction des déplacements, moin</w:t>
      </w:r>
      <w:r>
        <w:rPr>
          <w:rFonts w:ascii="Source Sans Pro" w:eastAsia="Source Sans Pro" w:hAnsi="Source Sans Pro" w:cs="Source Sans Pro"/>
          <w:color w:val="2A676A"/>
          <w:sz w:val="20"/>
          <w:szCs w:val="20"/>
        </w:rPr>
        <w:t>dre empreinte immobilière).</w:t>
      </w:r>
    </w:p>
    <w:p w:rsidR="00457ABD" w:rsidRDefault="00457ABD">
      <w:pPr>
        <w:pBdr>
          <w:top w:val="nil"/>
          <w:left w:val="nil"/>
          <w:bottom w:val="nil"/>
          <w:right w:val="nil"/>
          <w:between w:val="nil"/>
        </w:pBdr>
        <w:ind w:left="720"/>
        <w:rPr>
          <w:rFonts w:ascii="Source Sans Pro" w:eastAsia="Source Sans Pro" w:hAnsi="Source Sans Pro" w:cs="Source Sans Pro"/>
          <w:color w:val="2A676A"/>
          <w:sz w:val="20"/>
          <w:szCs w:val="20"/>
        </w:rPr>
      </w:pPr>
    </w:p>
    <w:p w:rsidR="00457ABD" w:rsidRDefault="00ED1D80">
      <w:pPr>
        <w:numPr>
          <w:ilvl w:val="0"/>
          <w:numId w:val="3"/>
        </w:numPr>
        <w:pBdr>
          <w:top w:val="nil"/>
          <w:left w:val="nil"/>
          <w:bottom w:val="nil"/>
          <w:right w:val="nil"/>
          <w:between w:val="nil"/>
        </w:pBdr>
        <w:rPr>
          <w:rFonts w:ascii="Source Sans Pro" w:eastAsia="Source Sans Pro" w:hAnsi="Source Sans Pro" w:cs="Source Sans Pro"/>
          <w:b/>
          <w:color w:val="2A676A"/>
          <w:sz w:val="20"/>
          <w:szCs w:val="20"/>
        </w:rPr>
      </w:pPr>
      <w:r>
        <w:rPr>
          <w:rFonts w:ascii="Source Sans Pro" w:eastAsia="Source Sans Pro" w:hAnsi="Source Sans Pro" w:cs="Source Sans Pro"/>
          <w:b/>
          <w:color w:val="2A676A"/>
          <w:sz w:val="20"/>
          <w:szCs w:val="20"/>
        </w:rPr>
        <w:t>Encourager l’engagement des collaborateurs :</w:t>
      </w:r>
      <w:r>
        <w:rPr>
          <w:rFonts w:ascii="Source Sans Pro" w:eastAsia="Source Sans Pro" w:hAnsi="Source Sans Pro" w:cs="Source Sans Pro"/>
          <w:color w:val="2A676A"/>
          <w:sz w:val="20"/>
          <w:szCs w:val="20"/>
        </w:rPr>
        <w:t xml:space="preserve"> </w:t>
      </w:r>
      <w:r>
        <w:rPr>
          <w:rFonts w:ascii="Source Sans Pro" w:eastAsia="Source Sans Pro" w:hAnsi="Source Sans Pro" w:cs="Source Sans Pro"/>
          <w:color w:val="2A676A"/>
          <w:sz w:val="20"/>
          <w:szCs w:val="20"/>
        </w:rPr>
        <w:t>les entreprises auraient à gagner à encourager l’engagement de leurs collaborateurs autour des sujets sociétaux et environnementaux, en interne comme en externe.</w:t>
      </w:r>
    </w:p>
    <w:p w:rsidR="00457ABD" w:rsidRDefault="00457ABD">
      <w:pPr>
        <w:pBdr>
          <w:top w:val="nil"/>
          <w:left w:val="nil"/>
          <w:bottom w:val="nil"/>
          <w:right w:val="nil"/>
          <w:between w:val="nil"/>
        </w:pBdr>
        <w:ind w:left="720"/>
        <w:rPr>
          <w:rFonts w:ascii="Source Sans Pro" w:eastAsia="Source Sans Pro" w:hAnsi="Source Sans Pro" w:cs="Source Sans Pro"/>
          <w:color w:val="2A676A"/>
          <w:sz w:val="20"/>
          <w:szCs w:val="20"/>
        </w:rPr>
      </w:pPr>
    </w:p>
    <w:p w:rsidR="00457ABD" w:rsidRDefault="00ED1D80">
      <w:pPr>
        <w:numPr>
          <w:ilvl w:val="0"/>
          <w:numId w:val="3"/>
        </w:numPr>
        <w:pBdr>
          <w:top w:val="nil"/>
          <w:left w:val="nil"/>
          <w:bottom w:val="nil"/>
          <w:right w:val="nil"/>
          <w:between w:val="nil"/>
        </w:pBdr>
        <w:rPr>
          <w:rFonts w:ascii="Source Sans Pro" w:eastAsia="Source Sans Pro" w:hAnsi="Source Sans Pro" w:cs="Source Sans Pro"/>
          <w:b/>
          <w:color w:val="2A676A"/>
          <w:sz w:val="20"/>
          <w:szCs w:val="20"/>
        </w:rPr>
      </w:pPr>
      <w:r>
        <w:rPr>
          <w:rFonts w:ascii="Source Sans Pro" w:eastAsia="Source Sans Pro" w:hAnsi="Source Sans Pro" w:cs="Source Sans Pro"/>
          <w:b/>
          <w:color w:val="2A676A"/>
          <w:sz w:val="20"/>
          <w:szCs w:val="20"/>
        </w:rPr>
        <w:t>Opérer des achats et des investissements plus responsables :</w:t>
      </w:r>
      <w:r>
        <w:rPr>
          <w:rFonts w:ascii="Source Sans Pro" w:eastAsia="Source Sans Pro" w:hAnsi="Source Sans Pro" w:cs="Source Sans Pro"/>
          <w:color w:val="2A676A"/>
          <w:sz w:val="20"/>
          <w:szCs w:val="20"/>
        </w:rPr>
        <w:t xml:space="preserve"> les politiques d’achat et d’inve</w:t>
      </w:r>
      <w:r>
        <w:rPr>
          <w:rFonts w:ascii="Source Sans Pro" w:eastAsia="Source Sans Pro" w:hAnsi="Source Sans Pro" w:cs="Source Sans Pro"/>
          <w:color w:val="2A676A"/>
          <w:sz w:val="20"/>
          <w:szCs w:val="20"/>
        </w:rPr>
        <w:t>stissement doivent être des leviers au service d’une économie plus durable et vertueuse, en intégrant des critères d’impact environnementaux et sociaux.</w:t>
      </w:r>
    </w:p>
    <w:p w:rsidR="00457ABD" w:rsidRDefault="00457ABD">
      <w:pPr>
        <w:pBdr>
          <w:top w:val="nil"/>
          <w:left w:val="nil"/>
          <w:bottom w:val="nil"/>
          <w:right w:val="nil"/>
          <w:between w:val="nil"/>
        </w:pBdr>
        <w:ind w:left="720"/>
        <w:rPr>
          <w:rFonts w:ascii="Source Sans Pro" w:eastAsia="Source Sans Pro" w:hAnsi="Source Sans Pro" w:cs="Source Sans Pro"/>
          <w:color w:val="2A676A"/>
          <w:sz w:val="20"/>
          <w:szCs w:val="20"/>
        </w:rPr>
      </w:pPr>
    </w:p>
    <w:p w:rsidR="00457ABD" w:rsidRDefault="00ED1D80">
      <w:pPr>
        <w:numPr>
          <w:ilvl w:val="0"/>
          <w:numId w:val="3"/>
        </w:numPr>
        <w:pBdr>
          <w:top w:val="nil"/>
          <w:left w:val="nil"/>
          <w:bottom w:val="nil"/>
          <w:right w:val="nil"/>
          <w:between w:val="nil"/>
        </w:pBdr>
        <w:rPr>
          <w:rFonts w:ascii="Source Sans Pro" w:eastAsia="Source Sans Pro" w:hAnsi="Source Sans Pro" w:cs="Source Sans Pro"/>
          <w:b/>
          <w:color w:val="2A676A"/>
          <w:sz w:val="20"/>
          <w:szCs w:val="20"/>
        </w:rPr>
      </w:pPr>
      <w:r>
        <w:rPr>
          <w:rFonts w:ascii="Source Sans Pro" w:eastAsia="Source Sans Pro" w:hAnsi="Source Sans Pro" w:cs="Source Sans Pro"/>
          <w:b/>
          <w:color w:val="2A676A"/>
          <w:sz w:val="20"/>
          <w:szCs w:val="20"/>
        </w:rPr>
        <w:t>Mettre en place des modes de gouvernance plus inclusifs :</w:t>
      </w:r>
      <w:r>
        <w:rPr>
          <w:rFonts w:ascii="Source Sans Pro" w:eastAsia="Source Sans Pro" w:hAnsi="Source Sans Pro" w:cs="Source Sans Pro"/>
          <w:color w:val="2A676A"/>
          <w:sz w:val="20"/>
          <w:szCs w:val="20"/>
        </w:rPr>
        <w:t xml:space="preserve"> de nouvelles formes d’expression et de repré</w:t>
      </w:r>
      <w:r>
        <w:rPr>
          <w:rFonts w:ascii="Source Sans Pro" w:eastAsia="Source Sans Pro" w:hAnsi="Source Sans Pro" w:cs="Source Sans Pro"/>
          <w:color w:val="2A676A"/>
          <w:sz w:val="20"/>
          <w:szCs w:val="20"/>
        </w:rPr>
        <w:t xml:space="preserve">sentation s’avèrent nécessaires pour permettre l’expression des attentes des collaborateurs et des différentes parties prenantes des entreprises. </w:t>
      </w:r>
    </w:p>
    <w:p w:rsidR="00457ABD" w:rsidRDefault="00457ABD">
      <w:pPr>
        <w:pBdr>
          <w:top w:val="nil"/>
          <w:left w:val="nil"/>
          <w:bottom w:val="nil"/>
          <w:right w:val="nil"/>
          <w:between w:val="nil"/>
        </w:pBdr>
        <w:ind w:left="720"/>
        <w:rPr>
          <w:rFonts w:ascii="Source Sans Pro" w:eastAsia="Source Sans Pro" w:hAnsi="Source Sans Pro" w:cs="Source Sans Pro"/>
          <w:color w:val="2A676A"/>
          <w:sz w:val="20"/>
          <w:szCs w:val="20"/>
        </w:rPr>
      </w:pPr>
    </w:p>
    <w:p w:rsidR="00457ABD" w:rsidRDefault="00ED1D80">
      <w:pPr>
        <w:numPr>
          <w:ilvl w:val="0"/>
          <w:numId w:val="3"/>
        </w:numPr>
        <w:pBdr>
          <w:top w:val="nil"/>
          <w:left w:val="nil"/>
          <w:bottom w:val="nil"/>
          <w:right w:val="nil"/>
          <w:between w:val="nil"/>
        </w:pBdr>
        <w:rPr>
          <w:rFonts w:ascii="Source Sans Pro" w:eastAsia="Source Sans Pro" w:hAnsi="Source Sans Pro" w:cs="Source Sans Pro"/>
          <w:b/>
          <w:color w:val="2A676A"/>
          <w:sz w:val="20"/>
          <w:szCs w:val="20"/>
        </w:rPr>
      </w:pPr>
      <w:r>
        <w:rPr>
          <w:rFonts w:ascii="Source Sans Pro" w:eastAsia="Source Sans Pro" w:hAnsi="Source Sans Pro" w:cs="Source Sans Pro"/>
          <w:b/>
          <w:color w:val="2A676A"/>
          <w:sz w:val="20"/>
          <w:szCs w:val="20"/>
        </w:rPr>
        <w:t>Adopter des logiques d’écosystème,</w:t>
      </w:r>
      <w:r>
        <w:rPr>
          <w:rFonts w:ascii="Source Sans Pro" w:eastAsia="Source Sans Pro" w:hAnsi="Source Sans Pro" w:cs="Source Sans Pro"/>
          <w:color w:val="2A676A"/>
          <w:sz w:val="20"/>
          <w:szCs w:val="20"/>
        </w:rPr>
        <w:t xml:space="preserve"> alors que la compétition entre acteurs pour capter une part plus grande d</w:t>
      </w:r>
      <w:r>
        <w:rPr>
          <w:rFonts w:ascii="Source Sans Pro" w:eastAsia="Source Sans Pro" w:hAnsi="Source Sans Pro" w:cs="Source Sans Pro"/>
          <w:color w:val="2A676A"/>
          <w:sz w:val="20"/>
          <w:szCs w:val="20"/>
        </w:rPr>
        <w:t xml:space="preserve">ans la valeur ajoutée, selon les seules règles du marché, a prouvé ses limites : elle n’encourage pas les coopérations de crise qui permettraient aux organisations d’agir ensemble plutôt que chacun dans son espace. </w:t>
      </w:r>
    </w:p>
    <w:p w:rsidR="00457ABD" w:rsidRDefault="00457ABD">
      <w:pPr>
        <w:pBdr>
          <w:top w:val="nil"/>
          <w:left w:val="nil"/>
          <w:bottom w:val="nil"/>
          <w:right w:val="nil"/>
          <w:between w:val="nil"/>
        </w:pBdr>
        <w:ind w:left="720"/>
        <w:rPr>
          <w:rFonts w:ascii="Source Sans Pro" w:eastAsia="Source Sans Pro" w:hAnsi="Source Sans Pro" w:cs="Source Sans Pro"/>
          <w:color w:val="2A676A"/>
          <w:sz w:val="20"/>
          <w:szCs w:val="20"/>
        </w:rPr>
      </w:pPr>
    </w:p>
    <w:p w:rsidR="00457ABD" w:rsidRDefault="00ED1D80">
      <w:pPr>
        <w:numPr>
          <w:ilvl w:val="0"/>
          <w:numId w:val="3"/>
        </w:numPr>
        <w:pBdr>
          <w:top w:val="nil"/>
          <w:left w:val="nil"/>
          <w:bottom w:val="nil"/>
          <w:right w:val="nil"/>
          <w:between w:val="nil"/>
        </w:pBdr>
        <w:rPr>
          <w:rFonts w:ascii="Source Sans Pro" w:eastAsia="Source Sans Pro" w:hAnsi="Source Sans Pro" w:cs="Source Sans Pro"/>
          <w:b/>
          <w:color w:val="2A676A"/>
          <w:sz w:val="20"/>
          <w:szCs w:val="20"/>
        </w:rPr>
      </w:pPr>
      <w:r>
        <w:rPr>
          <w:rFonts w:ascii="Source Sans Pro" w:eastAsia="Source Sans Pro" w:hAnsi="Source Sans Pro" w:cs="Source Sans Pro"/>
          <w:b/>
          <w:color w:val="2A676A"/>
          <w:sz w:val="20"/>
          <w:szCs w:val="20"/>
        </w:rPr>
        <w:t>Revoir les principes de comptabilité,</w:t>
      </w:r>
      <w:r>
        <w:rPr>
          <w:rFonts w:ascii="Source Sans Pro" w:eastAsia="Source Sans Pro" w:hAnsi="Source Sans Pro" w:cs="Source Sans Pro"/>
          <w:color w:val="2A676A"/>
          <w:sz w:val="20"/>
          <w:szCs w:val="20"/>
        </w:rPr>
        <w:t xml:space="preserve"> car intégrer les externalités des activités humaines dans la comptabilité des entreprises est indispensable pour permettre le déploiement à grande échelle de nouveaux modèles de croissance.</w:t>
      </w:r>
    </w:p>
    <w:p w:rsidR="00457ABD" w:rsidRDefault="00457ABD">
      <w:pPr>
        <w:pBdr>
          <w:top w:val="nil"/>
          <w:left w:val="nil"/>
          <w:bottom w:val="nil"/>
          <w:right w:val="nil"/>
          <w:between w:val="nil"/>
        </w:pBdr>
        <w:ind w:left="720"/>
        <w:rPr>
          <w:rFonts w:ascii="Source Sans Pro" w:eastAsia="Source Sans Pro" w:hAnsi="Source Sans Pro" w:cs="Source Sans Pro"/>
          <w:color w:val="2A676A"/>
          <w:sz w:val="20"/>
          <w:szCs w:val="20"/>
        </w:rPr>
      </w:pPr>
    </w:p>
    <w:p w:rsidR="00457ABD" w:rsidRDefault="00ED1D80">
      <w:pPr>
        <w:numPr>
          <w:ilvl w:val="0"/>
          <w:numId w:val="3"/>
        </w:numPr>
        <w:pBdr>
          <w:top w:val="nil"/>
          <w:left w:val="nil"/>
          <w:bottom w:val="nil"/>
          <w:right w:val="nil"/>
          <w:between w:val="nil"/>
        </w:pBdr>
        <w:rPr>
          <w:rFonts w:ascii="Source Sans Pro" w:eastAsia="Source Sans Pro" w:hAnsi="Source Sans Pro" w:cs="Source Sans Pro"/>
          <w:b/>
          <w:color w:val="2A676A"/>
          <w:sz w:val="20"/>
          <w:szCs w:val="20"/>
        </w:rPr>
      </w:pPr>
      <w:r>
        <w:rPr>
          <w:rFonts w:ascii="Source Sans Pro" w:eastAsia="Source Sans Pro" w:hAnsi="Source Sans Pro" w:cs="Source Sans Pro"/>
          <w:b/>
          <w:color w:val="2A676A"/>
          <w:sz w:val="20"/>
          <w:szCs w:val="20"/>
        </w:rPr>
        <w:t>Déployer de nouveaux modèle</w:t>
      </w:r>
      <w:r>
        <w:rPr>
          <w:rFonts w:ascii="Source Sans Pro" w:eastAsia="Source Sans Pro" w:hAnsi="Source Sans Pro" w:cs="Source Sans Pro"/>
          <w:b/>
          <w:color w:val="2A676A"/>
          <w:sz w:val="20"/>
          <w:szCs w:val="20"/>
        </w:rPr>
        <w:t>s économiques,</w:t>
      </w:r>
      <w:r>
        <w:rPr>
          <w:rFonts w:ascii="Source Sans Pro" w:eastAsia="Source Sans Pro" w:hAnsi="Source Sans Pro" w:cs="Source Sans Pro"/>
          <w:color w:val="2A676A"/>
          <w:sz w:val="20"/>
          <w:szCs w:val="20"/>
        </w:rPr>
        <w:t xml:space="preserve"> afin d’accompagner la transformation des modes de consommation et de production. Cela implique de penser les offres autrement, de mettre en place des filières responsables et vertueuses et d’imaginer de nouveaux modèles économiques autour de</w:t>
      </w:r>
      <w:r>
        <w:rPr>
          <w:rFonts w:ascii="Source Sans Pro" w:eastAsia="Source Sans Pro" w:hAnsi="Source Sans Pro" w:cs="Source Sans Pro"/>
          <w:color w:val="2A676A"/>
          <w:sz w:val="20"/>
          <w:szCs w:val="20"/>
        </w:rPr>
        <w:t xml:space="preserve"> la transition énergétique et de l’économie circulaire.</w:t>
      </w:r>
    </w:p>
    <w:p w:rsidR="00457ABD" w:rsidRDefault="00457ABD">
      <w:pPr>
        <w:pBdr>
          <w:top w:val="nil"/>
          <w:left w:val="nil"/>
          <w:bottom w:val="nil"/>
          <w:right w:val="nil"/>
          <w:between w:val="nil"/>
        </w:pBdr>
        <w:jc w:val="both"/>
        <w:rPr>
          <w:rFonts w:ascii="Source Sans Pro" w:eastAsia="Source Sans Pro" w:hAnsi="Source Sans Pro" w:cs="Source Sans Pro"/>
          <w:b/>
          <w:color w:val="2A676A"/>
          <w:sz w:val="28"/>
          <w:szCs w:val="28"/>
        </w:rPr>
      </w:pPr>
    </w:p>
    <w:p w:rsidR="00457ABD" w:rsidRDefault="00457ABD">
      <w:pPr>
        <w:spacing w:before="280"/>
        <w:rPr>
          <w:rFonts w:ascii="Source Sans Pro" w:eastAsia="Source Sans Pro" w:hAnsi="Source Sans Pro" w:cs="Source Sans Pro"/>
          <w:color w:val="2A676A"/>
          <w:sz w:val="20"/>
          <w:szCs w:val="20"/>
        </w:rPr>
      </w:pPr>
    </w:p>
    <w:sectPr w:rsidR="00457ABD">
      <w:headerReference w:type="even" r:id="rId31"/>
      <w:headerReference w:type="default" r:id="rId32"/>
      <w:footerReference w:type="even" r:id="rId33"/>
      <w:footerReference w:type="default" r:id="rId34"/>
      <w:headerReference w:type="first" r:id="rId35"/>
      <w:footerReference w:type="first" r:id="rId36"/>
      <w:pgSz w:w="11909" w:h="16834"/>
      <w:pgMar w:top="1133" w:right="1133" w:bottom="1133" w:left="1133" w:header="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D1D80" w:rsidRDefault="00ED1D80">
      <w:r>
        <w:separator/>
      </w:r>
    </w:p>
  </w:endnote>
  <w:endnote w:type="continuationSeparator" w:id="0">
    <w:p w:rsidR="00ED1D80" w:rsidRDefault="00ED1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7ABD" w:rsidRDefault="00ED1D80">
    <w:pPr>
      <w:pBdr>
        <w:top w:val="nil"/>
        <w:left w:val="nil"/>
        <w:bottom w:val="nil"/>
        <w:right w:val="nil"/>
        <w:between w:val="nil"/>
      </w:pBdr>
      <w:tabs>
        <w:tab w:val="center" w:pos="4320"/>
        <w:tab w:val="right" w:pos="8640"/>
      </w:tabs>
      <w:jc w:val="center"/>
      <w:rPr>
        <w:rFonts w:ascii="Arial" w:eastAsia="Arial" w:hAnsi="Arial" w:cs="Arial"/>
        <w:color w:val="000000"/>
        <w:sz w:val="16"/>
        <w:szCs w:val="16"/>
      </w:rPr>
    </w:pP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end"/>
    </w:r>
  </w:p>
  <w:p w:rsidR="00457ABD" w:rsidRDefault="00457ABD">
    <w:pPr>
      <w:pBdr>
        <w:top w:val="nil"/>
        <w:left w:val="nil"/>
        <w:bottom w:val="nil"/>
        <w:right w:val="nil"/>
        <w:between w:val="nil"/>
      </w:pBdr>
      <w:tabs>
        <w:tab w:val="center" w:pos="4320"/>
        <w:tab w:val="right" w:pos="8640"/>
      </w:tabs>
      <w:jc w:val="center"/>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7ABD" w:rsidRDefault="00ED1D80">
    <w:pPr>
      <w:pBdr>
        <w:top w:val="nil"/>
        <w:left w:val="nil"/>
        <w:bottom w:val="nil"/>
        <w:right w:val="nil"/>
        <w:between w:val="nil"/>
      </w:pBdr>
      <w:tabs>
        <w:tab w:val="center" w:pos="4320"/>
        <w:tab w:val="right" w:pos="8640"/>
      </w:tabs>
      <w:jc w:val="right"/>
      <w:rPr>
        <w:rFonts w:ascii="Arial" w:eastAsia="Arial" w:hAnsi="Arial" w:cs="Arial"/>
        <w:color w:val="000000"/>
        <w:sz w:val="16"/>
        <w:szCs w:val="16"/>
      </w:rPr>
    </w:pPr>
    <w:r>
      <w:rPr>
        <w:rFonts w:ascii="Source Sans Pro" w:eastAsia="Source Sans Pro" w:hAnsi="Source Sans Pro" w:cs="Source Sans Pro"/>
        <w:color w:val="2A676A"/>
        <w:sz w:val="20"/>
        <w:szCs w:val="20"/>
      </w:rPr>
      <w:fldChar w:fldCharType="begin"/>
    </w:r>
    <w:r>
      <w:rPr>
        <w:rFonts w:ascii="Source Sans Pro" w:eastAsia="Source Sans Pro" w:hAnsi="Source Sans Pro" w:cs="Source Sans Pro"/>
        <w:color w:val="2A676A"/>
        <w:sz w:val="20"/>
        <w:szCs w:val="20"/>
      </w:rPr>
      <w:instrText>PAGE</w:instrText>
    </w:r>
    <w:r w:rsidR="000A61D8">
      <w:rPr>
        <w:rFonts w:ascii="Source Sans Pro" w:eastAsia="Source Sans Pro" w:hAnsi="Source Sans Pro" w:cs="Source Sans Pro"/>
        <w:color w:val="2A676A"/>
        <w:sz w:val="20"/>
        <w:szCs w:val="20"/>
      </w:rPr>
      <w:fldChar w:fldCharType="separate"/>
    </w:r>
    <w:r w:rsidR="000A61D8">
      <w:rPr>
        <w:rFonts w:ascii="Source Sans Pro" w:eastAsia="Source Sans Pro" w:hAnsi="Source Sans Pro" w:cs="Source Sans Pro"/>
        <w:noProof/>
        <w:color w:val="2A676A"/>
        <w:sz w:val="20"/>
        <w:szCs w:val="20"/>
      </w:rPr>
      <w:t>1</w:t>
    </w:r>
    <w:r>
      <w:rPr>
        <w:rFonts w:ascii="Source Sans Pro" w:eastAsia="Source Sans Pro" w:hAnsi="Source Sans Pro" w:cs="Source Sans Pro"/>
        <w:color w:val="2A676A"/>
        <w:sz w:val="20"/>
        <w:szCs w:val="20"/>
      </w:rPr>
      <w:fldChar w:fldCharType="end"/>
    </w:r>
    <w:r>
      <w:rPr>
        <w:rFonts w:ascii="Source Sans Pro" w:eastAsia="Source Sans Pro" w:hAnsi="Source Sans Pro" w:cs="Source Sans Pro"/>
        <w:color w:val="2A676A"/>
        <w:sz w:val="20"/>
        <w:szCs w:val="20"/>
      </w:rPr>
      <w:t>/</w:t>
    </w:r>
    <w:r>
      <w:rPr>
        <w:rFonts w:ascii="Source Sans Pro" w:eastAsia="Source Sans Pro" w:hAnsi="Source Sans Pro" w:cs="Source Sans Pro"/>
        <w:color w:val="2A676A"/>
        <w:sz w:val="20"/>
        <w:szCs w:val="20"/>
      </w:rPr>
      <w:fldChar w:fldCharType="begin"/>
    </w:r>
    <w:r>
      <w:rPr>
        <w:rFonts w:ascii="Source Sans Pro" w:eastAsia="Source Sans Pro" w:hAnsi="Source Sans Pro" w:cs="Source Sans Pro"/>
        <w:color w:val="2A676A"/>
        <w:sz w:val="20"/>
        <w:szCs w:val="20"/>
      </w:rPr>
      <w:instrText>NUMPAGES</w:instrText>
    </w:r>
    <w:r w:rsidR="000A61D8">
      <w:rPr>
        <w:rFonts w:ascii="Source Sans Pro" w:eastAsia="Source Sans Pro" w:hAnsi="Source Sans Pro" w:cs="Source Sans Pro"/>
        <w:color w:val="2A676A"/>
        <w:sz w:val="20"/>
        <w:szCs w:val="20"/>
      </w:rPr>
      <w:fldChar w:fldCharType="separate"/>
    </w:r>
    <w:r w:rsidR="000A61D8">
      <w:rPr>
        <w:rFonts w:ascii="Source Sans Pro" w:eastAsia="Source Sans Pro" w:hAnsi="Source Sans Pro" w:cs="Source Sans Pro"/>
        <w:noProof/>
        <w:color w:val="2A676A"/>
        <w:sz w:val="20"/>
        <w:szCs w:val="20"/>
      </w:rPr>
      <w:t>2</w:t>
    </w:r>
    <w:r>
      <w:rPr>
        <w:rFonts w:ascii="Source Sans Pro" w:eastAsia="Source Sans Pro" w:hAnsi="Source Sans Pro" w:cs="Source Sans Pro"/>
        <w:color w:val="2A676A"/>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7ABD" w:rsidRDefault="00457ABD">
    <w:pPr>
      <w:pBdr>
        <w:top w:val="nil"/>
        <w:left w:val="nil"/>
        <w:bottom w:val="nil"/>
        <w:right w:val="nil"/>
        <w:between w:val="nil"/>
      </w:pBdr>
      <w:tabs>
        <w:tab w:val="center" w:pos="4320"/>
        <w:tab w:val="right" w:pos="8640"/>
      </w:tabs>
      <w:jc w:val="right"/>
      <w:rPr>
        <w:rFonts w:ascii="Arial" w:eastAsia="Arial" w:hAnsi="Arial" w:cs="Arial"/>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D1D80" w:rsidRDefault="00ED1D80">
      <w:r>
        <w:separator/>
      </w:r>
    </w:p>
  </w:footnote>
  <w:footnote w:type="continuationSeparator" w:id="0">
    <w:p w:rsidR="00ED1D80" w:rsidRDefault="00ED1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7ABD" w:rsidRDefault="00ED1D80">
    <w:pPr>
      <w:pBdr>
        <w:top w:val="nil"/>
        <w:left w:val="nil"/>
        <w:bottom w:val="nil"/>
        <w:right w:val="nil"/>
        <w:between w:val="nil"/>
      </w:pBdr>
      <w:tabs>
        <w:tab w:val="center" w:pos="4320"/>
        <w:tab w:val="right" w:pos="8640"/>
      </w:tabs>
      <w:jc w:val="right"/>
      <w:rPr>
        <w:rFonts w:ascii="Arial" w:eastAsia="Arial" w:hAnsi="Arial" w:cs="Arial"/>
        <w:color w:val="000000"/>
        <w:sz w:val="16"/>
        <w:szCs w:val="16"/>
      </w:rPr>
    </w:pP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end"/>
    </w:r>
  </w:p>
  <w:p w:rsidR="00457ABD" w:rsidRDefault="00457ABD">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7ABD" w:rsidRDefault="00457ABD">
    <w:pPr>
      <w:pBdr>
        <w:top w:val="nil"/>
        <w:left w:val="nil"/>
        <w:bottom w:val="nil"/>
        <w:right w:val="nil"/>
        <w:between w:val="nil"/>
      </w:pBdr>
      <w:tabs>
        <w:tab w:val="center" w:pos="4320"/>
        <w:tab w:val="right" w:pos="8640"/>
      </w:tabs>
      <w:jc w:val="center"/>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7ABD" w:rsidRDefault="00457ABD"/>
  <w:p w:rsidR="00457ABD" w:rsidRDefault="00457ABD"/>
  <w:p w:rsidR="00457ABD" w:rsidRDefault="00457ABD"/>
  <w:p w:rsidR="00457ABD" w:rsidRDefault="00457ABD"/>
  <w:p w:rsidR="00457ABD" w:rsidRDefault="00457ABD"/>
  <w:p w:rsidR="00457ABD" w:rsidRDefault="00457ABD"/>
  <w:p w:rsidR="00457ABD" w:rsidRDefault="00457ABD"/>
  <w:p w:rsidR="00457ABD" w:rsidRDefault="00457ABD"/>
  <w:p w:rsidR="00457ABD" w:rsidRDefault="00457ABD"/>
  <w:p w:rsidR="00457ABD" w:rsidRDefault="00457ABD"/>
  <w:p w:rsidR="00457ABD" w:rsidRDefault="00457ABD"/>
  <w:p w:rsidR="00457ABD" w:rsidRDefault="00457A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74F9F"/>
    <w:multiLevelType w:val="multilevel"/>
    <w:tmpl w:val="8230F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C74B96"/>
    <w:multiLevelType w:val="multilevel"/>
    <w:tmpl w:val="143CB9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0F56E4A"/>
    <w:multiLevelType w:val="multilevel"/>
    <w:tmpl w:val="C1EC2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4F725D"/>
    <w:multiLevelType w:val="multilevel"/>
    <w:tmpl w:val="2F704B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17513F2"/>
    <w:multiLevelType w:val="multilevel"/>
    <w:tmpl w:val="D8F6D33C"/>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ABD"/>
    <w:rsid w:val="000A61D8"/>
    <w:rsid w:val="00457ABD"/>
    <w:rsid w:val="00ED1D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47D0321"/>
  <w15:docId w15:val="{F3E5387B-E170-8C40-A5C6-FAFC5A99D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ind w:left="1440" w:hanging="360"/>
      <w:jc w:val="both"/>
      <w:outlineLvl w:val="0"/>
    </w:pPr>
    <w:rPr>
      <w:rFonts w:ascii="Source Sans Pro" w:eastAsia="Source Sans Pro" w:hAnsi="Source Sans Pro" w:cs="Source Sans Pro"/>
      <w:b/>
      <w:color w:val="2A676A"/>
      <w:sz w:val="28"/>
      <w:szCs w:val="28"/>
    </w:rPr>
  </w:style>
  <w:style w:type="paragraph" w:styleId="Titre2">
    <w:name w:val="heading 2"/>
    <w:basedOn w:val="Normal"/>
    <w:next w:val="Normal"/>
    <w:uiPriority w:val="9"/>
    <w:unhideWhenUsed/>
    <w:qFormat/>
    <w:pPr>
      <w:keepNext/>
      <w:keepLines/>
      <w:ind w:left="720" w:hanging="360"/>
      <w:outlineLvl w:val="1"/>
    </w:pPr>
    <w:rPr>
      <w:rFonts w:ascii="Source Sans Pro" w:eastAsia="Source Sans Pro" w:hAnsi="Source Sans Pro" w:cs="Source Sans Pro"/>
      <w:b/>
      <w:color w:val="2A676A"/>
    </w:rPr>
  </w:style>
  <w:style w:type="paragraph" w:styleId="Titre3">
    <w:name w:val="heading 3"/>
    <w:basedOn w:val="Normal"/>
    <w:next w:val="Normal"/>
    <w:uiPriority w:val="9"/>
    <w:semiHidden/>
    <w:unhideWhenUsed/>
    <w:qFormat/>
    <w:pPr>
      <w:keepNext/>
      <w:keepLines/>
      <w:ind w:left="1440" w:hanging="360"/>
      <w:jc w:val="both"/>
      <w:outlineLvl w:val="2"/>
    </w:pPr>
    <w:rPr>
      <w:rFonts w:ascii="Source Sans Pro" w:eastAsia="Source Sans Pro" w:hAnsi="Source Sans Pro" w:cs="Source Sans Pro"/>
      <w:b/>
      <w:color w:val="2A676A"/>
      <w:sz w:val="20"/>
      <w:szCs w:val="20"/>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0A61D8"/>
    <w:rPr>
      <w:sz w:val="18"/>
      <w:szCs w:val="18"/>
    </w:rPr>
  </w:style>
  <w:style w:type="character" w:customStyle="1" w:styleId="TextedebullesCar">
    <w:name w:val="Texte de bulles Car"/>
    <w:basedOn w:val="Policepardfaut"/>
    <w:link w:val="Textedebulles"/>
    <w:uiPriority w:val="99"/>
    <w:semiHidden/>
    <w:rsid w:val="000A61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francedigitale.org/" TargetMode="External"/><Relationship Id="rId18" Type="http://schemas.openxmlformats.org/officeDocument/2006/relationships/hyperlink" Target="http://mouves.org/" TargetMode="External"/><Relationship Id="rId26" Type="http://schemas.openxmlformats.org/officeDocument/2006/relationships/hyperlink" Target="https://www.ecologique-solidaire.gouv.fr/10-tout-changer-coalition-dentreprises-engagees-sest-rassemblee-au-ministere-transition-ecologique" TargetMode="External"/><Relationship Id="rId21" Type="http://schemas.openxmlformats.org/officeDocument/2006/relationships/hyperlink" Target="https://pour-un-reveil-ecologique.org/" TargetMode="External"/><Relationship Id="rId34"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hyperlink" Target="https://financefortomorrow.com/" TargetMode="External"/><Relationship Id="rId17" Type="http://schemas.openxmlformats.org/officeDocument/2006/relationships/hyperlink" Target="http://www.cddd.fr/" TargetMode="External"/><Relationship Id="rId25" Type="http://schemas.openxmlformats.org/officeDocument/2006/relationships/hyperlink" Target="https://usbeketrica.com/"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a-fabrique.fr/" TargetMode="External"/><Relationship Id="rId20" Type="http://schemas.openxmlformats.org/officeDocument/2006/relationships/hyperlink" Target="https://www.latribune.fr/opinions/tribunes/nous-sommes-demain-789233.html" TargetMode="External"/><Relationship Id="rId29" Type="http://schemas.openxmlformats.org/officeDocument/2006/relationships/hyperlink" Target="https://recovery.braineet.com/f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fmbusiness.bfmtv.com/" TargetMode="External"/><Relationship Id="rId24" Type="http://schemas.openxmlformats.org/officeDocument/2006/relationships/hyperlink" Target="https://theshiftproject.org/en/home/"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entreprisesamission.com/" TargetMode="External"/><Relationship Id="rId23" Type="http://schemas.openxmlformats.org/officeDocument/2006/relationships/hyperlink" Target="https://www.reseau-entreprendre.org/paris/" TargetMode="External"/><Relationship Id="rId28" Type="http://schemas.openxmlformats.org/officeDocument/2006/relationships/hyperlink" Target="https://www.ecologique-solidaire.gouv.fr/10-tout-changer-coalition-dentreprises-engagees-sest-rassemblee-au-ministere-transition-ecologique" TargetMode="External"/><Relationship Id="rId36" Type="http://schemas.openxmlformats.org/officeDocument/2006/relationships/footer" Target="footer3.xml"/><Relationship Id="rId10" Type="http://schemas.openxmlformats.org/officeDocument/2006/relationships/hyperlink" Target="https://bcorporation.eu/about-b-lab/country-partner/france" TargetMode="External"/><Relationship Id="rId19" Type="http://schemas.openxmlformats.org/officeDocument/2006/relationships/hyperlink" Target="https://makesense.org/"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shoka.org/en" TargetMode="External"/><Relationship Id="rId14" Type="http://schemas.openxmlformats.org/officeDocument/2006/relationships/hyperlink" Target="https://institut-economie-circulaire.fr/" TargetMode="External"/><Relationship Id="rId22" Type="http://schemas.openxmlformats.org/officeDocument/2006/relationships/hyperlink" Target="https://abonnement.sopress.net/" TargetMode="External"/><Relationship Id="rId27" Type="http://schemas.openxmlformats.org/officeDocument/2006/relationships/hyperlink" Target="https://www.ecologique-solidaire.gouv.fr/10-tout-changer-coalition-dentreprises-engagees-sest-rassemblee-au-ministere-transition-ecologique" TargetMode="External"/><Relationship Id="rId30" Type="http://schemas.openxmlformats.org/officeDocument/2006/relationships/image" Target="media/image3.png"/><Relationship Id="rId35"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1516</Words>
  <Characters>8340</Characters>
  <Application>Microsoft Office Word</Application>
  <DocSecurity>0</DocSecurity>
  <Lines>69</Lines>
  <Paragraphs>19</Paragraphs>
  <ScaleCrop>false</ScaleCrop>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Benoit Zante</cp:lastModifiedBy>
  <cp:revision>2</cp:revision>
  <dcterms:created xsi:type="dcterms:W3CDTF">2020-05-20T11:24:00Z</dcterms:created>
  <dcterms:modified xsi:type="dcterms:W3CDTF">2020-05-20T11:25:00Z</dcterms:modified>
</cp:coreProperties>
</file>