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t>RAÇA JOGÁVEL</w:t>
      </w:r>
    </w:p>
    <w:p>
      <w:pPr>
        <w:spacing w:before="0" w:after="40"/>
      </w:pPr>
      <w:r>
        <w:rPr>
          <w:rFonts w:ascii="P052" w:hAnsi="P052" w:eastAsia="P052"/>
          <w:b/>
          <w:color w:val="2D241E"/>
          <w:sz w:val="52"/>
        </w:rPr>
        <w:t>Humanos</w:t>
      </w:r>
    </w:p>
    <w:p>
      <w:pPr>
        <w:spacing w:after="200"/>
      </w:pPr>
      <w:r>
        <w:rPr>
          <w:rFonts w:ascii="P052" w:hAnsi="P052" w:eastAsia="P052"/>
          <w:i/>
          <w:color w:val="685B50"/>
          <w:sz w:val="24"/>
        </w:rPr>
        <w:t>Características Raciais</w:t>
      </w:r>
    </w:p>
    <w:p>
      <w:pPr>
        <w:spacing w:before="40" w:after="180" w:line="269" w:lineRule="auto"/>
        <w:ind w:left="317" w:right="317"/>
        <w:shd w:fill="F4EEE2"/>
        <w:pBdr>
          <w:top w:val="single" w:sz="8" w:space="7" w:color="C9B89F"/>
          <w:bottom w:val="single" w:sz="8" w:space="7" w:color="C9B89F"/>
          <w:left w:val="single" w:sz="8" w:space="7" w:color="C9B89F"/>
          <w:right w:val="single" w:sz="8" w:space="7" w:color="C9B89F"/>
        </w:pBdr>
      </w:pPr>
      <w:r>
        <w:rPr>
          <w:rFonts w:ascii="P052" w:hAnsi="P052" w:eastAsia="P052"/>
          <w:i/>
          <w:color w:val="2D241E"/>
          <w:sz w:val="22"/>
        </w:rPr>
        <w:t>“Humanos não começam com todas as respostas. Eles aprendem a encontrá-las juntos.”</w:t>
      </w:r>
    </w:p>
    <w:p>
      <w:pPr>
        <w:spacing w:after="160"/>
      </w:pPr>
      <w:r>
        <w:t>Ser Humano define capacidades inatas, não uma cultura única. Povo e Procedência registram a formação do personagem, enquanto sua herança racial aparece na presença que os Humanos estabeleceram pelo mundo e na facilidade quase sobrenatural com que apoiam uns aos outros.</w:t>
      </w:r>
    </w:p>
    <w:p>
      <w:pPr>
        <w:pStyle w:val="Heading1"/>
      </w:pPr>
      <w:r>
        <w:t>Criação de Personagem</w:t>
      </w:r>
    </w:p>
    <w:p>
      <w:pPr/>
      <w:r>
        <w:t>Raça. Humano.</w:t>
      </w:r>
    </w:p>
    <w:p>
      <w:pPr/>
      <w:r>
        <w:t>Povo. Reinos Humanos.</w:t>
      </w:r>
    </w:p>
    <w:p>
      <w:pPr>
        <w:pStyle w:val="Heading2"/>
      </w:pPr>
      <w:r>
        <w:t>Procedências Típicas</w:t>
      </w:r>
    </w:p>
    <w:p>
      <w:pPr>
        <w:pStyle w:val="ListBullet"/>
      </w:pPr>
      <w:r>
        <w:t>Argental. Competência de Lore: Cultura[Argental].</w:t>
      </w:r>
    </w:p>
    <w:p>
      <w:pPr>
        <w:pStyle w:val="ListBullet"/>
      </w:pPr>
      <w:r>
        <w:t>Porto Oriental. Competência de Lore: Cultura[Porto Oriental].</w:t>
      </w:r>
    </w:p>
    <w:p>
      <w:pPr>
        <w:pStyle w:val="ListBullet"/>
      </w:pPr>
      <w:r>
        <w:t>Montanha de Fogo. Competência de Lore: Cultura[Montanha de Fogo].</w:t>
      </w:r>
    </w:p>
    <w:p>
      <w:pPr/>
      <w:r>
        <w:t>A Procedência registra onde e com quem o personagem foi criado. Ela concede a Competência de Lore indicada, sem transformar conhecimentos culturais em características raciais.</w:t>
      </w:r>
    </w:p>
    <w:p>
      <w:pPr>
        <w:pStyle w:val="Heading2"/>
      </w:pPr>
      <w:r>
        <w:t>Herança Mista</w:t>
      </w:r>
    </w:p>
    <w:p>
      <w:pPr/>
      <w:r>
        <w:t>Na criação de um personagem de herança mista, Humano pode ser escolhido como Raça quando ao menos um de seus genitores for Humano. Registre a outra ascendência como Herança Familiar. Quando Humano for a raça manifestada, use integralmente apenas as características raciais Humanas; a ascendência não Humana não concede capacidades, compatibilidades ou limitações raciais adicionais.</w:t>
      </w:r>
    </w:p>
    <w:p>
      <w:pPr/>
      <w:r>
        <w:t>A Herança Familiar registra parentesco e aparência narrativa. Ela não constitui uma segunda Raça ou Povo e não concede automaticamente tradições, Competências de Lore, reputações ou contatos da cultura do outro genitor.</w:t>
      </w:r>
    </w:p>
    <w:p>
      <w:pPr>
        <w:pStyle w:val="Heading2"/>
      </w:pPr>
      <w:r>
        <w:t>Assimilação e Exílio</w:t>
      </w:r>
    </w:p>
    <w:p>
      <w:pPr/>
      <w:r>
        <w:t>Um Humano criado fora dos Reinos Humanos pode ser Assimilado à cultura local ou preservar uma tradição específica como Exilado. Assimilado e Exilado qualificam a origem; não substituem Povo, Procedência, Estrato Social ou Formação de Origem. A condição de Exilado justifica apenas aquilo que foi efetivamente transmitido por família, tutor, comunidade ou instituição e não concede automaticamente reputações, contatos ou conhecimentos cotidianos de uma terra onde o personagem nunca viveu.</w:t>
      </w:r>
    </w:p>
    <w:p>
      <w:pPr>
        <w:pStyle w:val="Heading2"/>
      </w:pPr>
      <w:r>
        <w:t>Formação Atípica</w:t>
      </w:r>
    </w:p>
    <w:p>
      <w:pPr/>
      <w:r>
        <w:t>As Procedências típicas representam os berços mais comuns da raça, não limites para a criação. Quando a Raça não for típica da Procedência escolhida, ou quando a Classe ou Ofício selecionado não possuir uma tradição normalmente disponível naquela comunidade, responda: Quem te ensinou a ser o que você é?</w:t>
      </w:r>
    </w:p>
    <w:p>
      <w:pPr/>
      <w:r>
        <w:t>Escolha normalmente Classes e Ofícios compatíveis com a raça. Um familiar, tutor, mestre, pequena comunidade ou instituição deve explicar como a formação chegou ao personagem. Essa resposta não possui custo mecânico, concede apenas a justificativa para os caminhos efetivamente escolhidos e não remove requisitos raciais ou outras compatibilidades.</w:t>
      </w:r>
    </w:p>
    <w:p>
      <w:pPr/>
      <w:r>
        <w:t>Exemplo. Um Humano criado em Selenthyr pode seguir Paladino ou Druida da Terra se um formador plausível lhe transmitiu essa tradição, mesmo que ela não seja ensinada normalmente na comunidade. Conhecer a cultura de Selenthyr não concede Torpor ou acesso a caminhos que exijam fisiologia Nyxiana.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Pioneiros</w:t>
      </w:r>
    </w:p>
    <w:p>
      <w:pPr>
        <w:spacing w:after="120"/>
      </w:pPr>
      <w:r>
        <w:rPr>
          <w:rFonts w:ascii="P052" w:hAnsi="P052" w:eastAsia="P052"/>
          <w:i w:val="0"/>
          <w:color w:val="2D241E"/>
        </w:rPr>
        <w:t>Como a primeira raça mortal senciente de Asterath, os Humanos formaram os primeiros assentamentos e se espalharam com mais profundidade do que qualquer outro povo. O padrão de vida em Gaia e em boa parte de Telara é ditado por suas sociedades. Argental — Archenthal nos registros em Dracônico Antigo — foi o primeiro grande reino humano. Onde existe presença humana estabelecida, hospedagem, comércio, estradas, estábulos, transporte e serviços cotidianos são infraestrutura ordinária; salvo em circunstâncias excepcionais, sua existência não exige investigação.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Só Mais Um na Multidão</w:t>
      </w:r>
    </w:p>
    <w:p>
      <w:pPr>
        <w:spacing w:after="120"/>
      </w:pPr>
      <w:r>
        <w:rPr>
          <w:rFonts w:ascii="P052" w:hAnsi="P052" w:eastAsia="P052"/>
          <w:i w:val="0"/>
          <w:color w:val="2D241E"/>
        </w:rPr>
        <w:t>Humanos são o povo mais numeroso de Asterath e, por isso, também o mais fácil de ignorar. Em uma comunidade predominantemente humana, ser Humano não é, por si só, uma característica distintiva para fins de descrição, procura ou identificação. Um Humano pode misturar-se à população sem chamar atenção por sua raça, embora aparência, equipamento, comportamento, reputação ou alguma característica excepcional ainda possam denunciá-lo.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Senhores do Campo</w:t>
      </w:r>
    </w:p>
    <w:p>
      <w:pPr>
        <w:spacing w:after="120"/>
      </w:pPr>
      <w:r>
        <w:rPr>
          <w:rFonts w:ascii="P052" w:hAnsi="P052" w:eastAsia="P052"/>
          <w:i w:val="0"/>
          <w:color w:val="2D241E"/>
        </w:rPr>
        <w:t>Humanos transformaram extensões de território em terras habitadas e produtivas. Fazendas, estradas, pastagens, vilas, carroças, animais domésticos e redes de abastecimento fazem parte da paisagem de suas sociedades. Um Humano opera normalmente nessa infraestrutura: procura provisões, transporte, abrigo ou mão de obra comum; reconhece a função de construções ordinárias; e utiliza cavalos e carroças para deslocamento civil. Isso não concede Lore, Perícia, Proficiência em Cavalaria ou treinamento profissional.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Colaboração Espontânea</w:t>
      </w:r>
    </w:p>
    <w:p>
      <w:pPr>
        <w:spacing w:after="100"/>
      </w:pPr>
      <w:r>
        <w:rPr>
          <w:rFonts w:ascii="P052" w:hAnsi="P052" w:eastAsia="P052"/>
          <w:i/>
          <w:color w:val="2D241E"/>
        </w:rPr>
        <w:t>Humanos são os maiores colonizadores de Asterath por um bom motivo. Quando trabalham juntos, parecem possuir uma sorte quase sobrenatural.</w:t>
      </w:r>
    </w:p>
    <w:p>
      <w:pPr>
        <w:spacing w:before="20" w:after="100" w:line="269" w:lineRule="auto"/>
        <w:ind w:left="230" w:right="230"/>
        <w:shd w:fill="F4EEE2"/>
        <w:pBdr>
          <w:top w:val="single" w:sz="10" w:space="8" w:color="A88762"/>
          <w:bottom w:val="single" w:sz="10" w:space="8" w:color="A88762"/>
          <w:left w:val="single" w:sz="10" w:space="8" w:color="A88762"/>
          <w:right w:val="single" w:sz="10" w:space="8" w:color="A88762"/>
        </w:pBdr>
      </w:pPr>
      <w:r>
        <w:rPr>
          <w:rFonts w:ascii="P052" w:hAnsi="P052" w:eastAsia="P052"/>
          <w:b/>
          <w:color w:val="7E4E2A"/>
          <w:sz w:val="18"/>
        </w:rPr>
        <w:t>REAÇÃO  •  ALCANCE 5 PM</w:t>
        <w:br/>
      </w:r>
      <w:r>
        <w:rPr>
          <w:rFonts w:ascii="P052" w:hAnsi="P052" w:eastAsia="P052"/>
          <w:color w:val="2D241E"/>
          <w:sz w:val="20"/>
        </w:rPr>
        <w:t>Quando um aliado a até 5 PM realizar um teste, depois de a rolagem ser conhecida, mas antes de determinar seu sucesso ou falha, você pode colaborar com ele. Aumente o resultado do teste em +1.</w:t>
      </w:r>
      <w:r>
        <w:rPr>
          <w:rFonts w:ascii="P052" w:hAnsi="P052" w:eastAsia="P052"/>
          <w:b/>
          <w:color w:val="2D241E"/>
          <w:sz w:val="20"/>
        </w:rPr>
        <w:br/>
        <w:t xml:space="preserve">Limite por teste. </w:t>
      </w:r>
      <w:r>
        <w:rPr>
          <w:rFonts w:ascii="P052" w:hAnsi="P052" w:eastAsia="P052"/>
          <w:color w:val="2D241E"/>
          <w:sz w:val="20"/>
        </w:rPr>
        <w:t>Um personagem pode receber apenas uma Colaboração Espontânea no mesmo teste.</w:t>
      </w:r>
      <w:r>
        <w:rPr>
          <w:rFonts w:ascii="P052" w:hAnsi="P052" w:eastAsia="P052"/>
          <w:b/>
          <w:color w:val="2D241E"/>
          <w:sz w:val="20"/>
        </w:rPr>
        <w:br/>
        <w:t xml:space="preserve">Limites de uso. </w:t>
      </w:r>
      <w:r>
        <w:rPr>
          <w:rFonts w:ascii="P052" w:hAnsi="P052" w:eastAsia="P052"/>
          <w:color w:val="2D241E"/>
          <w:sz w:val="20"/>
        </w:rPr>
        <w:t>Uma vez por encontro de combate e uma vez por dia fora de combate. Esses usos são independentes.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25" w:bottom="1037" w:left="1325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P052" w:hAnsi="P052" w:eastAsia="P052"/>
        <w:i/>
        <w:color w:val="685B50"/>
        <w:sz w:val="15"/>
      </w:rPr>
      <w:t>Características raciais —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P052" w:hAnsi="P052" w:eastAsia="P052"/>
        <w:b/>
        <w:color w:val="685B50"/>
        <w:sz w:val="15"/>
      </w:rPr>
      <w:t>CRÔNICAS DE ASTERATH  •  POVOS DE ASTERATH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P052" w:hAnsi="P052"/>
      <w:color w:val="2D24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P052" w:hAnsi="P052"/>
      <w:b/>
      <w:bCs/>
      <w:color w:val="7E4E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Humanos — Características Raciais</dc:title>
  <dc:subject>Crônicas de Asterath</dc:subject>
  <dc:creator>João Gabriel Moraes</dc:creator>
  <cp:keywords>Crônicas de Asterath, Humanos, características raciais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