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P052" w:hAnsi="P052" w:eastAsia="P052"/>
          <w:b/>
          <w:color w:val="7E4E2A"/>
          <w:sz w:val="16"/>
        </w:rPr>
        <w:t>POVO JOGÁVEL</w:t>
      </w:r>
    </w:p>
    <w:p>
      <w:pPr>
        <w:spacing w:before="0" w:after="40"/>
      </w:pPr>
      <w:r>
        <w:rPr>
          <w:rFonts w:ascii="P052" w:hAnsi="P052" w:eastAsia="P052"/>
          <w:b/>
          <w:color w:val="2D241E"/>
          <w:sz w:val="52"/>
        </w:rPr>
        <w:t>Humanos</w:t>
      </w:r>
    </w:p>
    <w:p>
      <w:pPr>
        <w:spacing w:after="200"/>
      </w:pPr>
      <w:r>
        <w:rPr>
          <w:rFonts w:ascii="P052" w:hAnsi="P052" w:eastAsia="P052"/>
          <w:i/>
          <w:color w:val="685B50"/>
          <w:sz w:val="24"/>
        </w:rPr>
        <w:t>Características Raciais</w:t>
      </w:r>
    </w:p>
    <w:p>
      <w:pPr>
        <w:spacing w:before="40" w:after="180" w:line="269" w:lineRule="auto"/>
        <w:ind w:left="317" w:right="317"/>
        <w:shd w:fill="F4EEE2"/>
        <w:pBdr>
          <w:top w:val="single" w:sz="8" w:space="7" w:color="C9B89F"/>
          <w:bottom w:val="single" w:sz="8" w:space="7" w:color="C9B89F"/>
          <w:left w:val="single" w:sz="8" w:space="7" w:color="C9B89F"/>
          <w:right w:val="single" w:sz="8" w:space="7" w:color="C9B89F"/>
        </w:pBdr>
      </w:pPr>
      <w:r>
        <w:rPr>
          <w:rFonts w:ascii="P052" w:hAnsi="P052" w:eastAsia="P052"/>
          <w:i/>
          <w:color w:val="2D241E"/>
          <w:sz w:val="22"/>
        </w:rPr>
        <w:t>“Humanos não começam com todas as respostas. Eles aprendem a encontrá-las juntos.”</w:t>
      </w:r>
    </w:p>
    <w:p>
      <w:pPr>
        <w:spacing w:after="160"/>
      </w:pPr>
      <w:r>
        <w:rPr>
          <w:rFonts w:ascii="P052" w:hAnsi="P052" w:eastAsia="P052"/>
          <w:i w:val="0"/>
          <w:color w:val="2D241E"/>
        </w:rPr>
        <w:t>Humanos podem começar como uma tábula rasa racial: background, Perícias e Lores determinam suas competências iniciais. Sua herança aparece na presença que estabeleceram pelo mundo e na facilidade quase sobrenatural com que apoiam uns aos outros.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Pioneiros</w:t>
      </w:r>
    </w:p>
    <w:p>
      <w:pPr>
        <w:spacing w:after="120"/>
      </w:pPr>
      <w:r>
        <w:rPr>
          <w:rFonts w:ascii="P052" w:hAnsi="P052" w:eastAsia="P052"/>
          <w:i w:val="0"/>
          <w:color w:val="2D241E"/>
        </w:rPr>
        <w:t>Como a primeira raça mortal senciente de Asterath, os Humanos formaram os primeiros assentamentos e se espalharam com mais profundidade do que qualquer outro povo. O padrão de vida em Gaia e em boa parte de Telara é ditado por suas sociedades. Argental — Archenthal nos registros em Dracônico Antigo — foi o primeiro grande reino humano. Onde existe presença humana estabelecida, hospedagem, comércio, estradas, estábulos, transporte e serviços cotidianos são infraestrutura ordinária; salvo em circunstâncias excepcionais, sua existência não exige investigação.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Só Mais Um na Multidão</w:t>
      </w:r>
    </w:p>
    <w:p>
      <w:pPr>
        <w:spacing w:after="120"/>
      </w:pPr>
      <w:r>
        <w:rPr>
          <w:rFonts w:ascii="P052" w:hAnsi="P052" w:eastAsia="P052"/>
          <w:i w:val="0"/>
          <w:color w:val="2D241E"/>
        </w:rPr>
        <w:t>Humanos são o povo mais numeroso de Asterath e, por isso, também o mais fácil de ignorar. Em uma comunidade predominantemente humana, ser Humano não é, por si só, uma característica distintiva para fins de descrição, procura ou identificação. Um Humano pode misturar-se à população sem chamar atenção por sua raça, embora aparência, equipamento, comportamento, reputação ou alguma característica excepcional ainda possam denunciá-lo.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Senhores do Campo</w:t>
      </w:r>
    </w:p>
    <w:p>
      <w:pPr>
        <w:spacing w:after="120"/>
      </w:pPr>
      <w:r>
        <w:rPr>
          <w:rFonts w:ascii="P052" w:hAnsi="P052" w:eastAsia="P052"/>
          <w:i w:val="0"/>
          <w:color w:val="2D241E"/>
        </w:rPr>
        <w:t>Humanos transformaram extensões de território em terras habitadas e produtivas. Fazendas, estradas, pastagens, vilas, carroças, animais domésticos e redes de abastecimento fazem parte da paisagem de suas sociedades. Um Humano opera normalmente nessa infraestrutura: procura provisões, transporte, abrigo ou mão de obra comum; reconhece a função de construções ordinárias; e utiliza cavalos e carroças para deslocamento civil. Isso não concede Lore, Perícia, Proficiência em Cavalaria ou treinamento profissional.</w:t>
      </w:r>
    </w:p>
    <w:p>
      <w:pPr>
        <w:pStyle w:val="Heading1"/>
        <w:keepNext/>
      </w:pPr>
      <w:r>
        <w:rPr>
          <w:rFonts w:ascii="P052" w:hAnsi="P052" w:eastAsia="P052"/>
          <w:b/>
          <w:color w:val="7E4E2A"/>
          <w:sz w:val="28"/>
        </w:rPr>
        <w:t>Colaboração Espontânea</w:t>
      </w:r>
    </w:p>
    <w:p>
      <w:pPr>
        <w:spacing w:after="100"/>
      </w:pPr>
      <w:r>
        <w:rPr>
          <w:rFonts w:ascii="P052" w:hAnsi="P052" w:eastAsia="P052"/>
          <w:i/>
          <w:color w:val="2D241E"/>
        </w:rPr>
        <w:t>Humanos são os maiores colonizadores de Asterath por um bom motivo. Quando trabalham juntos, parecem possuir uma sorte quase sobrenatural.</w:t>
      </w:r>
    </w:p>
    <w:p>
      <w:pPr>
        <w:spacing w:before="20" w:after="100" w:line="269" w:lineRule="auto"/>
        <w:ind w:left="230" w:right="230"/>
        <w:shd w:fill="F4EEE2"/>
        <w:pBdr>
          <w:top w:val="single" w:sz="10" w:space="8" w:color="A88762"/>
          <w:bottom w:val="single" w:sz="10" w:space="8" w:color="A88762"/>
          <w:left w:val="single" w:sz="10" w:space="8" w:color="A88762"/>
          <w:right w:val="single" w:sz="10" w:space="8" w:color="A88762"/>
        </w:pBdr>
      </w:pPr>
      <w:r>
        <w:rPr>
          <w:rFonts w:ascii="P052" w:hAnsi="P052" w:eastAsia="P052"/>
          <w:b/>
          <w:color w:val="7E4E2A"/>
          <w:sz w:val="18"/>
        </w:rPr>
        <w:t>REAÇÃO  •  ALCANCE 5 PM</w:t>
        <w:br/>
      </w:r>
      <w:r>
        <w:rPr>
          <w:rFonts w:ascii="P052" w:hAnsi="P052" w:eastAsia="P052"/>
          <w:color w:val="2D241E"/>
          <w:sz w:val="20"/>
        </w:rPr>
        <w:t>Quando um aliado a até 5 PM realizar um teste, depois de a rolagem ser conhecida, mas antes de determinar seu sucesso ou falha, você pode colaborar com ele. Aumente o resultado do teste em +1.</w:t>
      </w:r>
      <w:r>
        <w:rPr>
          <w:rFonts w:ascii="P052" w:hAnsi="P052" w:eastAsia="P052"/>
          <w:b/>
          <w:color w:val="2D241E"/>
          <w:sz w:val="20"/>
        </w:rPr>
        <w:br/>
        <w:t xml:space="preserve">Limite por teste. </w:t>
      </w:r>
      <w:r>
        <w:rPr>
          <w:rFonts w:ascii="P052" w:hAnsi="P052" w:eastAsia="P052"/>
          <w:color w:val="2D241E"/>
          <w:sz w:val="20"/>
        </w:rPr>
        <w:t>Um personagem pode receber apenas uma Colaboração Espontânea no mesmo teste.</w:t>
      </w:r>
      <w:r>
        <w:rPr>
          <w:rFonts w:ascii="P052" w:hAnsi="P052" w:eastAsia="P052"/>
          <w:b/>
          <w:color w:val="2D241E"/>
          <w:sz w:val="20"/>
        </w:rPr>
        <w:br/>
        <w:t xml:space="preserve">Limites de uso. </w:t>
      </w:r>
      <w:r>
        <w:rPr>
          <w:rFonts w:ascii="P052" w:hAnsi="P052" w:eastAsia="P052"/>
          <w:color w:val="2D241E"/>
          <w:sz w:val="20"/>
        </w:rPr>
        <w:t>Uma vez por encontro de combate e uma vez por dia fora de combate. Esses usos são independentes.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325" w:bottom="1037" w:left="1325" w:header="518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P052" w:hAnsi="P052" w:eastAsia="P052"/>
        <w:i/>
        <w:color w:val="685B50"/>
        <w:sz w:val="15"/>
      </w:rPr>
      <w:t>Características raciais — Humanos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P052" w:hAnsi="P052" w:eastAsia="P052"/>
        <w:b/>
        <w:color w:val="685B50"/>
        <w:sz w:val="15"/>
      </w:rPr>
      <w:t>CRÔNICAS DE ASTERATH  •  POVOS DE ASTERATH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83" w:lineRule="auto"/>
    </w:pPr>
    <w:rPr>
      <w:rFonts w:ascii="P052" w:hAnsi="P052"/>
      <w:color w:val="2D24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P052" w:hAnsi="P052"/>
      <w:b/>
      <w:bCs/>
      <w:color w:val="7E4E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Humanos — Características Raciais</dc:title>
  <dc:subject>Crônicas de Asterath</dc:subject>
  <dc:creator>João Gabriel Moraes</dc:creator>
  <cp:keywords>Crônicas de Asterath, Humanos, características raciais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