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33" w:rsidRDefault="00D91333">
      <w:pPr>
        <w:ind w:firstLine="480"/>
      </w:pPr>
      <w:bookmarkStart w:id="0" w:name="_GoBack"/>
      <w:bookmarkEnd w:id="0"/>
    </w:p>
    <w:p w:rsidR="00D91333" w:rsidRDefault="00D91333">
      <w:pPr>
        <w:ind w:firstLine="480"/>
      </w:pPr>
      <w:r>
        <w:rPr>
          <w:rFonts w:hint="eastAsia"/>
        </w:rPr>
        <w:t>網路化技職教育多媒體線上學園之規劃：終身資訊與網路知能應用教育將是技職教師進入二十一世紀的鑰匙，在此原則下，技職教師無論是對教學目標、課程、內容或教學方法等都應重新作思考與整合。而在教室電腦化與網路化的新教學環境下，與其他學科或層級間的橫向或縱向面，都應善用資訊應用與網路知能建立良好聯繫體系，並進而導引學生邁向全方位的資訊學習社會。本文就推展技職教師資訊與網路知能及建構技職教育多媒體線上學園提出一些看法與建議。</w:t>
      </w:r>
    </w:p>
    <w:p w:rsidR="00D91333" w:rsidRDefault="00D91333">
      <w:pPr>
        <w:ind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672"/>
        <w:gridCol w:w="1672"/>
        <w:gridCol w:w="1672"/>
        <w:gridCol w:w="1673"/>
        <w:gridCol w:w="1673"/>
      </w:tblGrid>
      <w:tr w:rsidR="00D91333">
        <w:trPr>
          <w:trHeight w:hRule="exact" w:val="567"/>
        </w:trPr>
        <w:tc>
          <w:tcPr>
            <w:tcW w:w="1672" w:type="dxa"/>
          </w:tcPr>
          <w:p w:rsidR="00D91333" w:rsidRDefault="00D91333"/>
        </w:tc>
        <w:tc>
          <w:tcPr>
            <w:tcW w:w="1672" w:type="dxa"/>
          </w:tcPr>
          <w:p w:rsidR="00D91333" w:rsidRDefault="00D91333">
            <w:pPr>
              <w:jc w:val="both"/>
            </w:pPr>
            <w:r>
              <w:rPr>
                <w:rFonts w:hint="eastAsia"/>
              </w:rPr>
              <w:t>電腦</w:t>
            </w:r>
          </w:p>
        </w:tc>
        <w:tc>
          <w:tcPr>
            <w:tcW w:w="1672" w:type="dxa"/>
          </w:tcPr>
          <w:p w:rsidR="00D91333" w:rsidRDefault="00D91333">
            <w:pPr>
              <w:jc w:val="both"/>
            </w:pPr>
            <w:r>
              <w:rPr>
                <w:rFonts w:hint="eastAsia"/>
              </w:rPr>
              <w:t>印表機</w:t>
            </w:r>
          </w:p>
        </w:tc>
        <w:tc>
          <w:tcPr>
            <w:tcW w:w="1673" w:type="dxa"/>
          </w:tcPr>
          <w:p w:rsidR="00D91333" w:rsidRDefault="00D91333">
            <w:pPr>
              <w:jc w:val="both"/>
            </w:pPr>
            <w:r>
              <w:rPr>
                <w:rFonts w:hint="eastAsia"/>
              </w:rPr>
              <w:t>數位相機</w:t>
            </w:r>
          </w:p>
        </w:tc>
        <w:tc>
          <w:tcPr>
            <w:tcW w:w="1673" w:type="dxa"/>
          </w:tcPr>
          <w:p w:rsidR="00D91333" w:rsidRDefault="00D91333">
            <w:pPr>
              <w:jc w:val="both"/>
            </w:pPr>
            <w:r>
              <w:rPr>
                <w:rFonts w:hint="eastAsia"/>
              </w:rPr>
              <w:t>掃瞄器</w:t>
            </w:r>
          </w:p>
        </w:tc>
      </w:tr>
      <w:tr w:rsidR="00D91333">
        <w:tc>
          <w:tcPr>
            <w:tcW w:w="1672" w:type="dxa"/>
            <w:vAlign w:val="center"/>
          </w:tcPr>
          <w:p w:rsidR="00D91333" w:rsidRDefault="00D91333">
            <w:pPr>
              <w:jc w:val="both"/>
            </w:pPr>
            <w:r>
              <w:rPr>
                <w:rFonts w:hint="eastAsia"/>
              </w:rPr>
              <w:t>東區</w:t>
            </w:r>
          </w:p>
        </w:tc>
        <w:tc>
          <w:tcPr>
            <w:tcW w:w="1672" w:type="dxa"/>
          </w:tcPr>
          <w:p w:rsidR="00D91333" w:rsidRDefault="00D91333">
            <w:pPr>
              <w:jc w:val="both"/>
            </w:pPr>
            <w:r>
              <w:t>4</w:t>
            </w:r>
          </w:p>
        </w:tc>
        <w:tc>
          <w:tcPr>
            <w:tcW w:w="1672" w:type="dxa"/>
          </w:tcPr>
          <w:p w:rsidR="00D91333" w:rsidRDefault="00D91333">
            <w:pPr>
              <w:jc w:val="both"/>
            </w:pPr>
            <w:r>
              <w:t>3</w:t>
            </w:r>
          </w:p>
        </w:tc>
        <w:tc>
          <w:tcPr>
            <w:tcW w:w="1673" w:type="dxa"/>
          </w:tcPr>
          <w:p w:rsidR="00D91333" w:rsidRDefault="00D91333">
            <w:pPr>
              <w:jc w:val="both"/>
            </w:pPr>
            <w:r>
              <w:t>12</w:t>
            </w:r>
          </w:p>
        </w:tc>
        <w:tc>
          <w:tcPr>
            <w:tcW w:w="1673" w:type="dxa"/>
          </w:tcPr>
          <w:p w:rsidR="00D91333" w:rsidRDefault="00D91333">
            <w:pPr>
              <w:jc w:val="both"/>
            </w:pPr>
            <w:r>
              <w:t>2</w:t>
            </w:r>
          </w:p>
        </w:tc>
      </w:tr>
      <w:tr w:rsidR="00D91333">
        <w:tc>
          <w:tcPr>
            <w:tcW w:w="1672" w:type="dxa"/>
            <w:vAlign w:val="center"/>
          </w:tcPr>
          <w:p w:rsidR="00D91333" w:rsidRDefault="00D91333">
            <w:pPr>
              <w:jc w:val="both"/>
            </w:pPr>
            <w:r>
              <w:rPr>
                <w:rFonts w:hint="eastAsia"/>
              </w:rPr>
              <w:t>南區</w:t>
            </w:r>
          </w:p>
        </w:tc>
        <w:tc>
          <w:tcPr>
            <w:tcW w:w="1672" w:type="dxa"/>
          </w:tcPr>
          <w:p w:rsidR="00D91333" w:rsidRDefault="00D91333">
            <w:pPr>
              <w:jc w:val="both"/>
            </w:pPr>
            <w:r>
              <w:t>15</w:t>
            </w:r>
          </w:p>
        </w:tc>
        <w:tc>
          <w:tcPr>
            <w:tcW w:w="1672" w:type="dxa"/>
          </w:tcPr>
          <w:p w:rsidR="00D91333" w:rsidRDefault="00D91333">
            <w:pPr>
              <w:jc w:val="both"/>
            </w:pPr>
            <w:r>
              <w:t>4</w:t>
            </w:r>
          </w:p>
        </w:tc>
        <w:tc>
          <w:tcPr>
            <w:tcW w:w="1673" w:type="dxa"/>
          </w:tcPr>
          <w:p w:rsidR="00D91333" w:rsidRDefault="00D91333">
            <w:pPr>
              <w:jc w:val="both"/>
            </w:pPr>
            <w:r>
              <w:t>23</w:t>
            </w:r>
          </w:p>
        </w:tc>
        <w:tc>
          <w:tcPr>
            <w:tcW w:w="1673" w:type="dxa"/>
          </w:tcPr>
          <w:p w:rsidR="00D91333" w:rsidRDefault="00D91333">
            <w:pPr>
              <w:jc w:val="both"/>
            </w:pPr>
            <w:r>
              <w:t>5</w:t>
            </w:r>
          </w:p>
        </w:tc>
      </w:tr>
      <w:tr w:rsidR="00D91333">
        <w:tc>
          <w:tcPr>
            <w:tcW w:w="1672" w:type="dxa"/>
            <w:vAlign w:val="center"/>
          </w:tcPr>
          <w:p w:rsidR="00D91333" w:rsidRDefault="00D91333">
            <w:pPr>
              <w:jc w:val="both"/>
            </w:pPr>
            <w:r>
              <w:rPr>
                <w:rFonts w:hint="eastAsia"/>
              </w:rPr>
              <w:t>西區</w:t>
            </w:r>
          </w:p>
        </w:tc>
        <w:tc>
          <w:tcPr>
            <w:tcW w:w="1672" w:type="dxa"/>
          </w:tcPr>
          <w:p w:rsidR="00D91333" w:rsidRDefault="00D91333">
            <w:pPr>
              <w:jc w:val="both"/>
            </w:pPr>
            <w:r>
              <w:t>27</w:t>
            </w:r>
          </w:p>
        </w:tc>
        <w:tc>
          <w:tcPr>
            <w:tcW w:w="1672" w:type="dxa"/>
          </w:tcPr>
          <w:p w:rsidR="00D91333" w:rsidRDefault="00D91333">
            <w:pPr>
              <w:jc w:val="both"/>
            </w:pPr>
            <w:r>
              <w:t>6</w:t>
            </w:r>
          </w:p>
        </w:tc>
        <w:tc>
          <w:tcPr>
            <w:tcW w:w="1673" w:type="dxa"/>
          </w:tcPr>
          <w:p w:rsidR="00D91333" w:rsidRDefault="00D91333">
            <w:pPr>
              <w:jc w:val="both"/>
            </w:pPr>
            <w:r>
              <w:t>24</w:t>
            </w:r>
          </w:p>
        </w:tc>
        <w:tc>
          <w:tcPr>
            <w:tcW w:w="1673" w:type="dxa"/>
          </w:tcPr>
          <w:p w:rsidR="00D91333" w:rsidRDefault="00D91333">
            <w:pPr>
              <w:jc w:val="both"/>
            </w:pPr>
            <w:r>
              <w:t>0</w:t>
            </w:r>
          </w:p>
        </w:tc>
      </w:tr>
      <w:tr w:rsidR="00D91333">
        <w:tc>
          <w:tcPr>
            <w:tcW w:w="1672" w:type="dxa"/>
            <w:vAlign w:val="center"/>
          </w:tcPr>
          <w:p w:rsidR="00D91333" w:rsidRDefault="00D91333">
            <w:pPr>
              <w:jc w:val="both"/>
            </w:pPr>
            <w:r>
              <w:rPr>
                <w:rFonts w:hint="eastAsia"/>
              </w:rPr>
              <w:t>北區</w:t>
            </w:r>
          </w:p>
        </w:tc>
        <w:tc>
          <w:tcPr>
            <w:tcW w:w="1672" w:type="dxa"/>
          </w:tcPr>
          <w:p w:rsidR="00D91333" w:rsidRDefault="00D91333">
            <w:pPr>
              <w:jc w:val="both"/>
            </w:pPr>
            <w:r>
              <w:t>1</w:t>
            </w:r>
          </w:p>
        </w:tc>
        <w:tc>
          <w:tcPr>
            <w:tcW w:w="1672" w:type="dxa"/>
          </w:tcPr>
          <w:p w:rsidR="00D91333" w:rsidRDefault="00D91333">
            <w:pPr>
              <w:jc w:val="both"/>
            </w:pPr>
            <w:r>
              <w:t>8</w:t>
            </w:r>
          </w:p>
        </w:tc>
        <w:tc>
          <w:tcPr>
            <w:tcW w:w="1673" w:type="dxa"/>
          </w:tcPr>
          <w:p w:rsidR="00D91333" w:rsidRDefault="00D91333">
            <w:pPr>
              <w:jc w:val="both"/>
            </w:pPr>
            <w:r>
              <w:t>33</w:t>
            </w:r>
          </w:p>
        </w:tc>
        <w:tc>
          <w:tcPr>
            <w:tcW w:w="1673" w:type="dxa"/>
          </w:tcPr>
          <w:p w:rsidR="00D91333" w:rsidRDefault="00D91333">
            <w:pPr>
              <w:jc w:val="both"/>
            </w:pPr>
            <w:r>
              <w:t>9</w:t>
            </w:r>
          </w:p>
        </w:tc>
      </w:tr>
    </w:tbl>
    <w:p w:rsidR="00D91333" w:rsidRDefault="00D91333">
      <w:pPr>
        <w:ind w:firstLine="480"/>
      </w:pPr>
    </w:p>
    <w:p w:rsidR="00D91333" w:rsidRDefault="00D91333">
      <w:r>
        <w:rPr>
          <w:rFonts w:hint="eastAsia"/>
        </w:rPr>
        <w:t xml:space="preserve">　　近年來個人電腦快速的普及以及網際網路使用率急速成長，加速了資訊新世代的來臨。面對資訊化社會的種種挑戰，教育是重要的關鍵。教育在個人與社會的持續發展中具有相當重要的作用，藉由教育可以提昇國家的競爭力，加強社會的人文關懷，因應地球村所帶來的國際化挑戰，亦為促進個人成長的不二法門。</w:t>
      </w:r>
    </w:p>
    <w:p w:rsidR="00D91333" w:rsidRDefault="00D91333"/>
    <w:p w:rsidR="00D91333" w:rsidRDefault="00D91333">
      <w:r>
        <w:rPr>
          <w:rFonts w:hint="eastAsia"/>
        </w:rPr>
        <w:t xml:space="preserve">　　網際網路由於採用開放式系統，只要是合乎網際網路的標準協定要求的電腦系統，都可透過電腦網路或數據機與它連結在一起。網際網路已經形成全世界最大的電腦系統與資源，因此如何運用其豐富的資源與開放式的特性，已成為世界各國政府、企業界與教育界重要的工作目標。</w:t>
      </w:r>
    </w:p>
    <w:p w:rsidR="00D91333" w:rsidRDefault="00D91333"/>
    <w:p w:rsidR="00D91333" w:rsidRDefault="00D91333">
      <w:r>
        <w:rPr>
          <w:rFonts w:hint="eastAsia"/>
        </w:rPr>
        <w:t xml:space="preserve">　　企業內（或校園內）網路則是應用網際網路技術，將企業內的電腦系統與資源透過網路連接在一起。對使用者而言，其應用和操作方式與網際網路幾乎是相同的。因此，兩者最大的不同是，使用對象僅限於該企業內的成員或獲得授權的人員，是屬於非開放式的系統，只有取得授權的人方能使用相關的資源。各個企業組織會定義其內部網路服務型式，但主要在於提供快速出版、資訊管理、知識工作與遠距教學等四大類機會，每類機會都會提昇組織內每位成員的生產力與活動力及彼此的互動性。企業間網路是繼網際網路與企業內網路產生的新應用概念與模式，它仍然引用網際網路的技術在企業內網路的平台內與其他單位的企業網路之間作連接，使用對象是互相授權的企業間成員。依照各自擁有的權限，透過網際網路分享彼此提供的資源。</w:t>
      </w:r>
    </w:p>
    <w:sectPr w:rsidR="00D913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46B" w:rsidRDefault="0089346B" w:rsidP="00B37BDD">
      <w:r>
        <w:separator/>
      </w:r>
    </w:p>
  </w:endnote>
  <w:endnote w:type="continuationSeparator" w:id="0">
    <w:p w:rsidR="0089346B" w:rsidRDefault="0089346B" w:rsidP="00B37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46B" w:rsidRDefault="0089346B" w:rsidP="00B37BDD">
      <w:r>
        <w:separator/>
      </w:r>
    </w:p>
  </w:footnote>
  <w:footnote w:type="continuationSeparator" w:id="0">
    <w:p w:rsidR="0089346B" w:rsidRDefault="0089346B" w:rsidP="00B37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33"/>
    <w:rsid w:val="000F1E9D"/>
    <w:rsid w:val="001F0708"/>
    <w:rsid w:val="003500CA"/>
    <w:rsid w:val="0048665E"/>
    <w:rsid w:val="00612C50"/>
    <w:rsid w:val="0089346B"/>
    <w:rsid w:val="00AF2510"/>
    <w:rsid w:val="00B101FD"/>
    <w:rsid w:val="00B37BDD"/>
    <w:rsid w:val="00D91333"/>
    <w:rsid w:val="00E1347F"/>
    <w:rsid w:val="00E319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7BDD"/>
    <w:pPr>
      <w:tabs>
        <w:tab w:val="center" w:pos="4153"/>
        <w:tab w:val="right" w:pos="8306"/>
      </w:tabs>
      <w:snapToGrid w:val="0"/>
    </w:pPr>
    <w:rPr>
      <w:sz w:val="20"/>
      <w:szCs w:val="20"/>
    </w:rPr>
  </w:style>
  <w:style w:type="character" w:customStyle="1" w:styleId="a4">
    <w:name w:val="頁首 字元"/>
    <w:basedOn w:val="a0"/>
    <w:link w:val="a3"/>
    <w:rsid w:val="00B37BDD"/>
    <w:rPr>
      <w:kern w:val="2"/>
    </w:rPr>
  </w:style>
  <w:style w:type="paragraph" w:styleId="a5">
    <w:name w:val="footer"/>
    <w:basedOn w:val="a"/>
    <w:link w:val="a6"/>
    <w:rsid w:val="00B37BDD"/>
    <w:pPr>
      <w:tabs>
        <w:tab w:val="center" w:pos="4153"/>
        <w:tab w:val="right" w:pos="8306"/>
      </w:tabs>
      <w:snapToGrid w:val="0"/>
    </w:pPr>
    <w:rPr>
      <w:sz w:val="20"/>
      <w:szCs w:val="20"/>
    </w:rPr>
  </w:style>
  <w:style w:type="character" w:customStyle="1" w:styleId="a6">
    <w:name w:val="頁尾 字元"/>
    <w:basedOn w:val="a0"/>
    <w:link w:val="a5"/>
    <w:rsid w:val="00B37BDD"/>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7BDD"/>
    <w:pPr>
      <w:tabs>
        <w:tab w:val="center" w:pos="4153"/>
        <w:tab w:val="right" w:pos="8306"/>
      </w:tabs>
      <w:snapToGrid w:val="0"/>
    </w:pPr>
    <w:rPr>
      <w:sz w:val="20"/>
      <w:szCs w:val="20"/>
    </w:rPr>
  </w:style>
  <w:style w:type="character" w:customStyle="1" w:styleId="a4">
    <w:name w:val="頁首 字元"/>
    <w:basedOn w:val="a0"/>
    <w:link w:val="a3"/>
    <w:rsid w:val="00B37BDD"/>
    <w:rPr>
      <w:kern w:val="2"/>
    </w:rPr>
  </w:style>
  <w:style w:type="paragraph" w:styleId="a5">
    <w:name w:val="footer"/>
    <w:basedOn w:val="a"/>
    <w:link w:val="a6"/>
    <w:rsid w:val="00B37BDD"/>
    <w:pPr>
      <w:tabs>
        <w:tab w:val="center" w:pos="4153"/>
        <w:tab w:val="right" w:pos="8306"/>
      </w:tabs>
      <w:snapToGrid w:val="0"/>
    </w:pPr>
    <w:rPr>
      <w:sz w:val="20"/>
      <w:szCs w:val="20"/>
    </w:rPr>
  </w:style>
  <w:style w:type="character" w:customStyle="1" w:styleId="a6">
    <w:name w:val="頁尾 字元"/>
    <w:basedOn w:val="a0"/>
    <w:link w:val="a5"/>
    <w:rsid w:val="00B37BDD"/>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751</Characters>
  <Application>Microsoft Office Word</Application>
  <DocSecurity>0</DocSecurity>
  <Lines>6</Lines>
  <Paragraphs>1</Paragraphs>
  <ScaleCrop>false</ScaleCrop>
  <Company>win7user</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網路化技職教育多媒體線上學園之規劃：終身資訊與網路知能應用教育將是技職教師進入二十一世紀的鑰匙，在此原則下，技職教師無論是對教學目標、課程、內容或教學方法等都應重新作思考與整合</dc:title>
  <dc:creator>kmchi</dc:creator>
  <cp:lastModifiedBy>SeanWang</cp:lastModifiedBy>
  <cp:revision>2</cp:revision>
  <dcterms:created xsi:type="dcterms:W3CDTF">2013-09-16T08:21:00Z</dcterms:created>
  <dcterms:modified xsi:type="dcterms:W3CDTF">2013-09-16T08:21:00Z</dcterms:modified>
</cp:coreProperties>
</file>