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highlight w:val="white"/>
          <w:u w:val="single"/>
          <w:vertAlign w:val="baseline"/>
          <w:rtl w:val="0"/>
        </w:rPr>
        <w:t xml:space="preserve">Assign Scrum Master 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to assign Scrum Master to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own this product and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click the edit button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 the project info from the DB and shows it on the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 Product owner choose a scrum master and click submit.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2.System save the project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Scrum master can see the project in his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product owner can own several products, each product can only assign to one scrum master.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Create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create a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click the Add Project button  in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gets and shows the forms for creating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2. Product owner edit the information for the product, then Product owner click the Submit button to save the project.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2.System save the project to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 owner can see the project in this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product owner create many projects.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Read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owner, developer, scrum master to read  a project 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Developer, 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Users who are interested in this project and is 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Users click the project link  in the project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 show the information for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viewed by who is assigned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Update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owner, and the scrum master to  update a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scrum master who own this project and 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owner, scrum master click the Edit button  in the project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gets and shows the information of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1. Product owner edit the information for the project, and then  Product owner click the Submit button to save the project.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2.System save the project to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Only the one who own this product can update this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Delete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to delete a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7673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488"/>
        <w:tblGridChange w:id="0">
          <w:tblGrid>
            <w:gridCol w:w="2185"/>
            <w:gridCol w:w="548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click the Delete button  for the project in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1.The project is deleted from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deleted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product owner and scrum master can not see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Only product owner who own this project can delete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User Case Specification: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View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and scrum master to view the reports of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or Scrum Master 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7673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488"/>
        <w:tblGridChange w:id="0">
          <w:tblGrid>
            <w:gridCol w:w="2185"/>
            <w:gridCol w:w="548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or Scrum Master click the View Report button  in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The reports is generated and  displayed on the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Only product and scrum master can view the reports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16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