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/>
      </w:pPr>
      <w:bookmarkStart w:colFirst="0" w:colLast="0" w:name="_h59h9riwmh2r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rPr>
          <w:rFonts w:ascii="Rajdhani" w:cs="Rajdhani" w:eastAsia="Rajdhani" w:hAnsi="Rajdhani"/>
        </w:rPr>
      </w:pPr>
      <w:bookmarkStart w:colFirst="0" w:colLast="0" w:name="_8jrafewntw5c" w:id="1"/>
      <w:bookmarkEnd w:id="1"/>
      <w:r w:rsidDel="00000000" w:rsidR="00000000" w:rsidRPr="00000000">
        <w:rPr>
          <w:rFonts w:ascii="Rajdhani" w:cs="Rajdhani" w:eastAsia="Rajdhani" w:hAnsi="Rajdhani"/>
          <w:rtl w:val="0"/>
        </w:rPr>
        <w:t xml:space="preserve">Solução do exercício “pode subir”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podeSubir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(altura, vemAcompanhado){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podeSubir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(altura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altura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</w:t>
              <w:br w:type="textWrapping"/>
              <w:t xml:space="preserve">        podeSubir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(altura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vemAcompanhado){</w:t>
              <w:br w:type="textWrapping"/>
              <w:t xml:space="preserve">        podeSubir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podeSubir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podeSubir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(altura,vemAcompanhado){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((altura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altura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(altura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vemAcompanhado)){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podeSubir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(altura,vemAcompanhado){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(altura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altura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(altura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vemAcompanhado)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