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uq78jq8nk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Asset Disposal SOP (Standard Operating Procedure)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n27a9qxb9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the controlled process for retiring and disposing of company assets within Aquatic HydroHarvest. It ensures secure data handling, proper decommissioning, regulatory compliance, and accurate inventory closure.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8lqu40dz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company-owned assets: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equipment (laptops, servers, storage devices, networking gear)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equipment (sensors, monitoring devices, field tools)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and digital resources (licenses, accounts, cloud resources)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9ov9v7yjr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Disposal Criteria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asset qualifies for disposal when: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End-of-life or unsupported by vendor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Irreparable or economically non-viable to repair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obsolete due to system upgrades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risk (compromised hardware/software)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inventory or redundancy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hobe6v59k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Roles &amp; Accountability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Manager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approval authority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asset registry accuracy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/ Technical Team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data sanitization and decommissioning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secure wipe/destruction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Head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Confirms operational non-need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Officer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Ensures regulatory and environmental adherence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69frd87g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Disposal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xjc9v8ia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Disposal Request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 with: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disposal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report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method (if applicable)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g1qywzbr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Technical Assessment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evaluates: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Functionality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feasibility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sensitivity level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Repairable → return to maintenance or reuse pool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Non-repairable → proceed to disposal approval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1i288vjv2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Approval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approvals: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Manager (mandatory)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 (if operational asset)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(if sensitive data/device)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approval = no disposal.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slk4o6blc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Data Sanitization (Critical Control Point)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data-bearing assets: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wipe (approved overwrite standard)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erasure (if encrypted)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destruction (if high-risk)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required: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Wipe logs or destruction certificate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sign-off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bi6j5nncp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Decommissioning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from user assignment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system/network access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asset status: </w:t>
      </w:r>
      <w:r w:rsidDel="00000000" w:rsidR="00000000" w:rsidRPr="00000000">
        <w:rPr>
          <w:b w:val="1"/>
          <w:bCs w:val="1"/>
          <w:rtl w:val="0"/>
        </w:rPr>
        <w:t xml:space="preserve">In Disposal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5r0fz0vmn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Physical Disposal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classification: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Recyclable Assets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 to certified e-waste facility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recovered where possible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Non-Recyclable Assets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Physically destroyed (shredding/crushing)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Controlled Reuse/Donation (rare)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with compliance approval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non-sensitive and fully sanitized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xq7pso37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Registry Closure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marked as </w:t>
      </w:r>
      <w:r w:rsidDel="00000000" w:rsidR="00000000" w:rsidRPr="00000000">
        <w:rPr>
          <w:b w:val="1"/>
          <w:bCs w:val="1"/>
          <w:rtl w:val="0"/>
        </w:rPr>
        <w:t xml:space="preserve">Disposed / Retired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system updated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 and financial records adjusted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officially closed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mq4nz7o80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Audit Logging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disposal must record: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ID and serial number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trail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 method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method and vendor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confirmation status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Retention: stored for audit compliance period.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dii4zin2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Status Flow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Disposal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Sanitization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Disposal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Disposed / Closed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84gqr2pxn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Compliance Rules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asset may be discarded without approval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storage devices must be sanitized before exit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disposal is treated as a critical policy breach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disposal must follow certified e-waste standards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traceability is mandatory for all disposed assets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yq3d51jix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Objective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ensures that Aquatic HydroHarvest maintains: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data lifecycle control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asset accounting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responsibility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discipline across all departments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