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FEC7" w14:textId="77777777" w:rsidR="00A97131" w:rsidRDefault="00000000">
      <w:pPr>
        <w:pStyle w:val="a3"/>
      </w:pPr>
      <w:r>
        <w:t>投资要点</w:t>
      </w:r>
    </w:p>
    <w:p w14:paraId="0EB5ED91" w14:textId="77777777" w:rsidR="00A97131" w:rsidRDefault="00000000">
      <w:pPr>
        <w:pStyle w:val="a9"/>
      </w:pPr>
      <w:r>
        <w:t>截至</w:t>
      </w:r>
      <w:r>
        <w:t>2026</w:t>
      </w:r>
      <w:r>
        <w:t>年</w:t>
      </w:r>
      <w:r>
        <w:t>4</w:t>
      </w:r>
      <w:r>
        <w:t>月，</w:t>
      </w:r>
      <w:r>
        <w:t>A</w:t>
      </w:r>
      <w:r>
        <w:t>股量化投资已进入</w:t>
      </w:r>
      <w:r>
        <w:rPr>
          <w:b/>
          <w:bCs/>
        </w:rPr>
        <w:t>AI</w:t>
      </w:r>
      <w:r>
        <w:rPr>
          <w:b/>
          <w:bCs/>
        </w:rPr>
        <w:t>驱动的</w:t>
      </w:r>
      <w:r>
        <w:rPr>
          <w:b/>
          <w:bCs/>
        </w:rPr>
        <w:t>4.0</w:t>
      </w:r>
      <w:r>
        <w:rPr>
          <w:b/>
          <w:bCs/>
        </w:rPr>
        <w:t>时代</w:t>
      </w:r>
      <w:r>
        <w:t>，机构因子体系呈现显著分化特征。公募基金以基本面因子为核心（占比</w:t>
      </w:r>
      <w:r>
        <w:t>70%-80%</w:t>
      </w:r>
      <w:r>
        <w:t>），追求稳健长期收益；私募基金侧重量价因子（占比</w:t>
      </w:r>
      <w:r>
        <w:t>60%-70%</w:t>
      </w:r>
      <w:r>
        <w:t>），强调高频交易和超额收益弹性。近三年技术开发呈现三大趋势：</w:t>
      </w:r>
      <w:r>
        <w:rPr>
          <w:b/>
          <w:bCs/>
        </w:rPr>
        <w:t>深度学习从</w:t>
      </w:r>
      <w:r>
        <w:rPr>
          <w:b/>
          <w:bCs/>
        </w:rPr>
        <w:t>2024</w:t>
      </w:r>
      <w:r>
        <w:rPr>
          <w:b/>
          <w:bCs/>
        </w:rPr>
        <w:t>年的全频段量价融合，到</w:t>
      </w:r>
      <w:r>
        <w:rPr>
          <w:b/>
          <w:bCs/>
        </w:rPr>
        <w:t>2025</w:t>
      </w:r>
      <w:r>
        <w:rPr>
          <w:b/>
          <w:bCs/>
        </w:rPr>
        <w:t>年大模型全面渗透，再到</w:t>
      </w:r>
      <w:r>
        <w:rPr>
          <w:b/>
          <w:bCs/>
        </w:rPr>
        <w:t>2026</w:t>
      </w:r>
      <w:r>
        <w:rPr>
          <w:b/>
          <w:bCs/>
        </w:rPr>
        <w:t>年多模态</w:t>
      </w:r>
      <w:r>
        <w:rPr>
          <w:b/>
          <w:bCs/>
        </w:rPr>
        <w:t>AI</w:t>
      </w:r>
      <w:r>
        <w:rPr>
          <w:b/>
          <w:bCs/>
        </w:rPr>
        <w:t>因子爆发</w:t>
      </w:r>
      <w:r>
        <w:t>，因子研发周期从传统</w:t>
      </w:r>
      <w:r>
        <w:t>180</w:t>
      </w:r>
      <w:r>
        <w:t>天压缩至</w:t>
      </w:r>
      <w:r>
        <w:t>7</w:t>
      </w:r>
      <w:r>
        <w:t>天。使用频率数据显示，头部机构因子库规模已达百万级，而中小机构仅为千级，技术鸿沟持续扩大。</w:t>
      </w:r>
    </w:p>
    <w:p w14:paraId="74677BE9" w14:textId="77777777" w:rsidR="00A97131" w:rsidRDefault="00000000">
      <w:pPr>
        <w:pStyle w:val="2"/>
      </w:pPr>
      <w:r>
        <w:t>一、</w:t>
      </w:r>
      <w:r>
        <w:t>A</w:t>
      </w:r>
      <w:r>
        <w:t>股机构因子分类体系</w:t>
      </w:r>
    </w:p>
    <w:p w14:paraId="4109883D" w14:textId="77777777" w:rsidR="00A97131" w:rsidRDefault="00000000">
      <w:pPr>
        <w:pStyle w:val="3"/>
      </w:pPr>
      <w:r>
        <w:t xml:space="preserve">1.1 </w:t>
      </w:r>
      <w:r>
        <w:t>基础分类框架</w:t>
      </w:r>
    </w:p>
    <w:p w14:paraId="25BC69E6" w14:textId="77777777" w:rsidR="00A97131" w:rsidRDefault="00000000">
      <w:pPr>
        <w:pStyle w:val="a9"/>
      </w:pPr>
      <w:r>
        <w:t>A</w:t>
      </w:r>
      <w:r>
        <w:t>股量化投资机构因子体系按照不同维度可分为三大基础类别。根据风格分类，最常用的是六大核心因子：价值因子、成长因子、质量因子、动量因子、风险因子和规模因子。这种分类方式直观反映了因子的投资逻辑和市场特征。易方达基金在此基础上进一步细化，将风格因子梳理为成长、价值、红利和其他四大类，其中成长和价值风格叠加了大中小盘维度进行划分，红利主要包括中证红利、红利低波等指数，而质量、现金流、动量等因子则归入其他类别。</w:t>
      </w:r>
    </w:p>
    <w:p w14:paraId="483758F2" w14:textId="77777777" w:rsidR="00A97131" w:rsidRDefault="00000000">
      <w:pPr>
        <w:pStyle w:val="a9"/>
      </w:pPr>
      <w:r>
        <w:t>按照数据来源分类，因子可分为基本面因子、量价因子和另类因子三大类。基本面因子包括价值、成长、质量等，主要基于公司财务报表和行业竞争格局构建；量价因子基于市场交易数据，如价格波动、流动性、资金流向等；另类因子则涵盖了舆情因子、供应链数据、卫星图像数据、投资者行为等不包含在传统财务报表和市场成交数据中的信息。这种分类方式更便于理解因子的数据基础和构建逻辑。</w:t>
      </w:r>
    </w:p>
    <w:p w14:paraId="0E5C2531" w14:textId="77777777" w:rsidR="00A97131" w:rsidRDefault="00000000">
      <w:pPr>
        <w:pStyle w:val="a9"/>
      </w:pPr>
      <w:r>
        <w:t>从功能角度，因子可分为阿尔法因子和风险因子两大类。阿尔法因子包括价值、成长、质量、动量等，主要用于获取超额收益；风险因子则用于风险控制和组合优化。这种分类方式直接对应了量化投资的核心目标</w:t>
      </w:r>
      <w:r>
        <w:t>——</w:t>
      </w:r>
      <w:r>
        <w:t>在控制风险的前提下获取超额收益。</w:t>
      </w:r>
    </w:p>
    <w:p w14:paraId="000B8426" w14:textId="77777777" w:rsidR="00A97131" w:rsidRDefault="00000000">
      <w:pPr>
        <w:pStyle w:val="3"/>
      </w:pPr>
      <w:r>
        <w:t xml:space="preserve">1.2 </w:t>
      </w:r>
      <w:r>
        <w:t>公募基金因子偏好特征</w:t>
      </w:r>
    </w:p>
    <w:p w14:paraId="54D953E2" w14:textId="77777777" w:rsidR="00A97131" w:rsidRDefault="00000000">
      <w:pPr>
        <w:pStyle w:val="a9"/>
      </w:pPr>
      <w:r>
        <w:t>公募基金在因子选择上呈现出明显的</w:t>
      </w:r>
      <w:r>
        <w:rPr>
          <w:b/>
          <w:bCs/>
        </w:rPr>
        <w:t>稳健性和长期性</w:t>
      </w:r>
      <w:r>
        <w:t>特征。从因子构成来看，公募基金以相对低频的基本面因子为主导，占比通常达到</w:t>
      </w:r>
      <w:r>
        <w:t>70%-80%</w:t>
      </w:r>
      <w:r>
        <w:t>。这些基本面因子主要包括</w:t>
      </w:r>
      <w:r>
        <w:t>PE</w:t>
      </w:r>
      <w:r>
        <w:t>、</w:t>
      </w:r>
      <w:r>
        <w:t>ROE</w:t>
      </w:r>
      <w:r>
        <w:t>、盈利增速、估值修复等低频指标，因子迭代慢、调仓周期长，更适合长期持有、稳健增值的投资需求。</w:t>
      </w:r>
    </w:p>
    <w:p w14:paraId="3073FA24" w14:textId="77777777" w:rsidR="00A97131" w:rsidRDefault="00000000">
      <w:pPr>
        <w:pStyle w:val="a9"/>
      </w:pPr>
      <w:r>
        <w:t>在具体的因子暴露特征方面，不同公募基金呈现出差异化的偏好。兴业基金楼华锋的策略呈现价值因子正暴露特征，投资组合倾向于基本面良好、低估值、低波动的标的。人保资产刘石开</w:t>
      </w:r>
      <w:r>
        <w:lastRenderedPageBreak/>
        <w:t>采用多策略框架，包含价值红利、盈利质量、成长股、量价相关策略，因子暴露相对有限，倾向于基本面良好、高动量的中小市值标的。国联基金王喆通过指增产品提供工具化配置选择，因子暴露相对有限，倾向于基本面良好且具备估值优势的标的。易方达基金殷明采用系统化且分层清晰的多策略框架，核心围绕基本面与统计套利两大策略类别，因子暴露相对有限，倾向于高成长标的。华夏基金袁英杰则采用以价值投资为核心逻辑驱动下的中低频多因子选股框架，通过盈利、估值、分析师与量价四大类因子的系统结合，因子暴露倾向于基本面良好、具备估值优势、低波动低关注度的标的。</w:t>
      </w:r>
    </w:p>
    <w:p w14:paraId="6C5013E9" w14:textId="77777777" w:rsidR="00A97131" w:rsidRDefault="00000000">
      <w:pPr>
        <w:pStyle w:val="a9"/>
      </w:pPr>
      <w:r>
        <w:t>公募基金在交易特征上也体现出稳健性。换手率相对较低，年双边换手率通常在</w:t>
      </w:r>
      <w:r>
        <w:t>2-20</w:t>
      </w:r>
      <w:r>
        <w:t>倍之间，主要执行分钟级交易且严禁组合内同日反向交易。这种交易方式虽然限制了短期收益的爆发力，但有效降低了交易成本和风险暴露。</w:t>
      </w:r>
    </w:p>
    <w:p w14:paraId="5718D3DE" w14:textId="77777777" w:rsidR="00A97131" w:rsidRDefault="00000000">
      <w:pPr>
        <w:pStyle w:val="a9"/>
      </w:pPr>
      <w:r>
        <w:t>从风险控制角度，公募基金建立了严格的风险约束体系。行业偏离度通常控制在</w:t>
      </w:r>
      <w:r>
        <w:t>1%-2%</w:t>
      </w:r>
      <w:r>
        <w:t>以内，风格偏离控制在</w:t>
      </w:r>
      <w:r>
        <w:t>0.3</w:t>
      </w:r>
      <w:r>
        <w:t>倍标准差以内。例如，兴业基金将行业偏离限制在</w:t>
      </w:r>
      <w:r>
        <w:t>1%-1.5%</w:t>
      </w:r>
      <w:r>
        <w:t>，风格偏离控制在</w:t>
      </w:r>
      <w:r>
        <w:t>0.3</w:t>
      </w:r>
      <w:r>
        <w:t>倍标准差以内；人保资产的行业偏离度为</w:t>
      </w:r>
      <w:r>
        <w:t>1.06%</w:t>
      </w:r>
      <w:r>
        <w:t>，成分股偏离度为</w:t>
      </w:r>
      <w:r>
        <w:t>0.22%</w:t>
      </w:r>
      <w:r>
        <w:t>；国联基金的行业偏离度为</w:t>
      </w:r>
      <w:r>
        <w:t>0.63%</w:t>
      </w:r>
      <w:r>
        <w:t>，成分股偏离度为</w:t>
      </w:r>
      <w:r>
        <w:t>0.28%</w:t>
      </w:r>
      <w:r>
        <w:t>；华夏基金的行业偏离约束在</w:t>
      </w:r>
      <w:r>
        <w:t>2%</w:t>
      </w:r>
      <w:r>
        <w:t>以下，个股偏离约束在</w:t>
      </w:r>
      <w:r>
        <w:t>1.5%</w:t>
      </w:r>
      <w:r>
        <w:t>以下。</w:t>
      </w:r>
    </w:p>
    <w:p w14:paraId="6E84E029" w14:textId="77777777" w:rsidR="00A97131" w:rsidRDefault="00000000">
      <w:pPr>
        <w:pStyle w:val="3"/>
      </w:pPr>
      <w:r>
        <w:t xml:space="preserve">1.3 </w:t>
      </w:r>
      <w:r>
        <w:t>私募基金因子偏好特征</w:t>
      </w:r>
    </w:p>
    <w:p w14:paraId="7A98700A" w14:textId="77777777" w:rsidR="00A97131" w:rsidRDefault="00000000">
      <w:pPr>
        <w:pStyle w:val="a9"/>
      </w:pPr>
      <w:r>
        <w:t>私募基金在因子选择上展现出</w:t>
      </w:r>
      <w:r>
        <w:rPr>
          <w:b/>
          <w:bCs/>
        </w:rPr>
        <w:t>灵活性和高收益导向</w:t>
      </w:r>
      <w:r>
        <w:t>的特点。从因子构成来看，私募基金以相对高频的量价因子为主，占比通常达到</w:t>
      </w:r>
      <w:r>
        <w:t>60%-70%</w:t>
      </w:r>
      <w:r>
        <w:t>。与公募基金不同，私募因子库更为丰富，除基本面因子外，还大量接入高频量价因子、另类数据、逻辑因子等，依托强大算力实现模型快速迭代。</w:t>
      </w:r>
    </w:p>
    <w:p w14:paraId="450F263F" w14:textId="77777777" w:rsidR="00A97131" w:rsidRDefault="00000000">
      <w:pPr>
        <w:pStyle w:val="a9"/>
      </w:pPr>
      <w:r>
        <w:t>头部量化私募的因子体系呈现出高度的技术化特征。幻方量化的因子库包含</w:t>
      </w:r>
      <w:r>
        <w:t>200+</w:t>
      </w:r>
      <w:r>
        <w:t>个量化因子，涵盖动量、波动率、流动性等，通过遗传算法动态筛选。其因子构成比例为：价量因子约</w:t>
      </w:r>
      <w:r>
        <w:t>40%</w:t>
      </w:r>
      <w:r>
        <w:t>，基本面因子约</w:t>
      </w:r>
      <w:r>
        <w:t>30%</w:t>
      </w:r>
      <w:r>
        <w:t>，另类数据因子约</w:t>
      </w:r>
      <w:r>
        <w:t>20%</w:t>
      </w:r>
      <w:r>
        <w:t>，</w:t>
      </w:r>
      <w:r>
        <w:t>AI</w:t>
      </w:r>
      <w:r>
        <w:t>衍生因子约</w:t>
      </w:r>
      <w:r>
        <w:t>10%</w:t>
      </w:r>
      <w:r>
        <w:t>。更重要的是，在实际应用中，传统量化因子约占模型权重的</w:t>
      </w:r>
      <w:r>
        <w:t>30%</w:t>
      </w:r>
      <w:r>
        <w:t>，而通过深度学习等</w:t>
      </w:r>
      <w:r>
        <w:t>AI</w:t>
      </w:r>
      <w:r>
        <w:t>技术从海量数据中挖掘出的非线性、复杂模式因子则占</w:t>
      </w:r>
      <w:r>
        <w:t>70%</w:t>
      </w:r>
      <w:r>
        <w:t>左右。</w:t>
      </w:r>
    </w:p>
    <w:p w14:paraId="713B070A" w14:textId="77777777" w:rsidR="00A97131" w:rsidRDefault="00000000">
      <w:pPr>
        <w:pStyle w:val="a9"/>
      </w:pPr>
      <w:r>
        <w:t>九坤投资的发展历程体现了私募基金因子技术的演进轨迹。成立之初主要采用人工挖掘因子的线性模型方式，</w:t>
      </w:r>
      <w:r>
        <w:t>2019</w:t>
      </w:r>
      <w:r>
        <w:t>年开始搭建</w:t>
      </w:r>
      <w:r>
        <w:t>AI</w:t>
      </w:r>
      <w:r>
        <w:t>方向的技术团队，转向基于深度学习的股票量价策略。明汯投资同样经历了从人工挖掘到机器挖掘的转变，最大的特点是像个全周期专家，能够适应不同市场环境下的因子需求。</w:t>
      </w:r>
    </w:p>
    <w:p w14:paraId="008A07C4" w14:textId="77777777" w:rsidR="00A97131" w:rsidRDefault="00000000">
      <w:pPr>
        <w:pStyle w:val="a9"/>
      </w:pPr>
      <w:r>
        <w:t>在交易特征方面，私募基金展现出更高的灵活性和效率。年双边换手率基本在</w:t>
      </w:r>
      <w:r>
        <w:t>30</w:t>
      </w:r>
      <w:r>
        <w:t>倍以上，显著高于公募基金。私募基金依托机器学习衍生非线性因子，可以驱动微秒级高频交易，允许日内回转交易实现</w:t>
      </w:r>
      <w:r>
        <w:t>T0</w:t>
      </w:r>
      <w:r>
        <w:t>增强。这种交易方式虽然风险较高，但能够捕捉更多的市场机会，实现更高的超额收益。</w:t>
      </w:r>
    </w:p>
    <w:p w14:paraId="4A58AADE" w14:textId="77777777" w:rsidR="00A97131" w:rsidRDefault="00000000">
      <w:pPr>
        <w:pStyle w:val="a9"/>
      </w:pPr>
      <w:r>
        <w:lastRenderedPageBreak/>
        <w:t>私募基金在策略类型上也更加多元化。除了传统的指数增强策略外，还包括量化多头、股票中性、转债策略、</w:t>
      </w:r>
      <w:r>
        <w:t>CTA</w:t>
      </w:r>
      <w:r>
        <w:t>策略、其他衍生品策略、套利策略和复合策略等。这种多元化的策略布局使得私募基金能够在不同市场环境下寻找最优的投资机会。</w:t>
      </w:r>
    </w:p>
    <w:p w14:paraId="469FD71F" w14:textId="77777777" w:rsidR="00A97131" w:rsidRDefault="00000000">
      <w:pPr>
        <w:pStyle w:val="3"/>
      </w:pPr>
      <w:r>
        <w:t xml:space="preserve">1.4 </w:t>
      </w:r>
      <w:r>
        <w:t>公私募因子选择差异分析</w:t>
      </w:r>
    </w:p>
    <w:p w14:paraId="7D0CA8B5" w14:textId="77777777" w:rsidR="00A97131" w:rsidRDefault="00000000">
      <w:pPr>
        <w:pStyle w:val="a9"/>
      </w:pPr>
      <w:r>
        <w:t>公募基金和私募基金在因子选择上的差异源于其</w:t>
      </w:r>
      <w:r>
        <w:rPr>
          <w:b/>
          <w:bCs/>
        </w:rPr>
        <w:t>不同的约束条件和投资目标</w:t>
      </w:r>
      <w:r>
        <w:t>。从投资限制来看，公募基金受到严格的</w:t>
      </w:r>
      <w:r>
        <w:t>"</w:t>
      </w:r>
      <w:r>
        <w:t>双十</w:t>
      </w:r>
      <w:r>
        <w:t>"</w:t>
      </w:r>
      <w:r>
        <w:t>规则限制（个股持仓</w:t>
      </w:r>
      <w:r>
        <w:t>≤10%</w:t>
      </w:r>
      <w:r>
        <w:t>），对冲产品主要运用股指期货且净敞口基本上严格控制在</w:t>
      </w:r>
      <w:r>
        <w:t>0%-10%</w:t>
      </w:r>
      <w:r>
        <w:t>；而私募基金遵循</w:t>
      </w:r>
      <w:r>
        <w:t>"</w:t>
      </w:r>
      <w:r>
        <w:t>双</w:t>
      </w:r>
      <w:r>
        <w:t>25%"</w:t>
      </w:r>
      <w:r>
        <w:t>限制，投资限制相对宽松，指增产品跟踪误差容忍度更高，对冲产品敞口限制没有公募严格，实际运作常高于公募，并可灵活运用融券、期权及跨境衍生品工具。</w:t>
      </w:r>
    </w:p>
    <w:p w14:paraId="69B12FE5" w14:textId="77777777" w:rsidR="00A97131" w:rsidRDefault="00000000">
      <w:pPr>
        <w:pStyle w:val="a9"/>
      </w:pPr>
      <w:r>
        <w:t>在策略目标上，两者存在本质差异。公募量化基金主要包括主动量化策略、指数增强策略、量化对冲策略三大类权益投资策略，更注重产品的流动性、申赎体验和持有人接受度，整体约束更多。私募基金则策略空间更大，产品设计更灵活，常见于指数增强、市场中性、多空、</w:t>
      </w:r>
      <w:r>
        <w:t>CTA</w:t>
      </w:r>
      <w:r>
        <w:t>等多策略并行，目标更偏向绝对收益和超额收益。</w:t>
      </w:r>
    </w:p>
    <w:p w14:paraId="4D87660B" w14:textId="77777777" w:rsidR="00A97131" w:rsidRDefault="00000000">
      <w:pPr>
        <w:pStyle w:val="a9"/>
      </w:pPr>
      <w:r>
        <w:t>从因子选择的深层逻辑来看，公募基金追求的是</w:t>
      </w:r>
      <w:r>
        <w:rPr>
          <w:b/>
          <w:bCs/>
        </w:rPr>
        <w:t>长期稳定的超额收益</w:t>
      </w:r>
      <w:r>
        <w:t>，因此更偏好基本面因子，这些因子具有较强的逻辑支撑和长期有效性。私募基金追求的是</w:t>
      </w:r>
      <w:r>
        <w:rPr>
          <w:b/>
          <w:bCs/>
        </w:rPr>
        <w:t>高弹性的超额收益</w:t>
      </w:r>
      <w:r>
        <w:t>，因此更依赖量价因子，这些因子能够快速响应市场变化，捕捉短期交易机会。这种差异在实际业绩表现上得到了印证。</w:t>
      </w:r>
      <w:r>
        <w:t>2024</w:t>
      </w:r>
      <w:r>
        <w:t>年，公募</w:t>
      </w:r>
      <w:r>
        <w:t>500</w:t>
      </w:r>
      <w:r>
        <w:t>指增指数是负超额，而私募</w:t>
      </w:r>
      <w:r>
        <w:t>500</w:t>
      </w:r>
      <w:r>
        <w:t>指增依然有</w:t>
      </w:r>
      <w:r>
        <w:t>8</w:t>
      </w:r>
      <w:r>
        <w:t>个多点超额；</w:t>
      </w:r>
      <w:r>
        <w:t>2025</w:t>
      </w:r>
      <w:r>
        <w:t>年差距更明显，私募</w:t>
      </w:r>
      <w:r>
        <w:t>500</w:t>
      </w:r>
      <w:r>
        <w:t>指增指数超额在</w:t>
      </w:r>
      <w:r>
        <w:t>15</w:t>
      </w:r>
      <w:r>
        <w:t>个点以上，</w:t>
      </w:r>
      <w:r>
        <w:t>1000</w:t>
      </w:r>
      <w:r>
        <w:t>指增在</w:t>
      </w:r>
      <w:r>
        <w:t>23%</w:t>
      </w:r>
      <w:r>
        <w:t>以上，即使扣除</w:t>
      </w:r>
      <w:r>
        <w:t>20%</w:t>
      </w:r>
      <w:r>
        <w:t>的</w:t>
      </w:r>
      <w:r>
        <w:t>carry</w:t>
      </w:r>
      <w:r>
        <w:t>，依然碾压公募指增个位数的超额。</w:t>
      </w:r>
    </w:p>
    <w:p w14:paraId="5E628584" w14:textId="77777777" w:rsidR="00A97131" w:rsidRDefault="00000000">
      <w:pPr>
        <w:pStyle w:val="a9"/>
      </w:pPr>
      <w:r>
        <w:t>监管环境的差异也影响了两者的因子选择。公募基金受到《证券投资基金法》的严格约束，获准面向社会公众公开发行，受到的监管强度相对较高且信息透明度要求更高；私募基金则受《私募投资基金监督管理条例》约束，仅能通过非公开方式募集，合同通常更具定制化特征，且风险等级通常更高。这种监管差异使得私募基金在因子选择和策略执行上具有更大的灵活性，能够使用一些风险较高但收益潜力更大的因子。</w:t>
      </w:r>
    </w:p>
    <w:p w14:paraId="04A90AC6" w14:textId="77777777" w:rsidR="00A97131" w:rsidRDefault="00000000">
      <w:pPr>
        <w:pStyle w:val="2"/>
      </w:pPr>
      <w:r>
        <w:t>二、</w:t>
      </w:r>
      <w:r>
        <w:t>2024-2026</w:t>
      </w:r>
      <w:r>
        <w:t>年技术开发研究进展</w:t>
      </w:r>
    </w:p>
    <w:p w14:paraId="640EFE08" w14:textId="77777777" w:rsidR="00A97131" w:rsidRDefault="00000000">
      <w:pPr>
        <w:pStyle w:val="3"/>
      </w:pPr>
      <w:r>
        <w:t>2.1 2024</w:t>
      </w:r>
      <w:r>
        <w:t>年：深度学习量价因子技术突破</w:t>
      </w:r>
    </w:p>
    <w:p w14:paraId="2E346A46" w14:textId="77777777" w:rsidR="00A97131" w:rsidRDefault="00000000">
      <w:pPr>
        <w:pStyle w:val="a9"/>
      </w:pPr>
      <w:r>
        <w:t>2024</w:t>
      </w:r>
      <w:r>
        <w:t>年标志着</w:t>
      </w:r>
      <w:r>
        <w:t>A</w:t>
      </w:r>
      <w:r>
        <w:t>股量化投资进入深度学习全面应用的关键年份，</w:t>
      </w:r>
      <w:r>
        <w:rPr>
          <w:b/>
          <w:bCs/>
        </w:rPr>
        <w:t>深度学习技术在量价因子挖掘方面取得了革命性突破</w:t>
      </w:r>
      <w:r>
        <w:t>。华泰金工在这一年推出了基于深度学习的全频段量价特征选股模型，成为行业标杆。该模型首先用深度学习模型训练</w:t>
      </w:r>
      <w:r>
        <w:t>27</w:t>
      </w:r>
      <w:r>
        <w:t>个高频因子，得到高频深度学习因子；接着利用多任务学习对低频量价数据进行端到端挖掘，得到低频多任务因子；最后合成为全频段融合因子。这种创新的技术架构实现了不同时间尺度数据的有效融合，显著提升了因子的预测能力。</w:t>
      </w:r>
    </w:p>
    <w:p w14:paraId="2BDDD274" w14:textId="77777777" w:rsidR="00A97131" w:rsidRDefault="00000000">
      <w:pPr>
        <w:pStyle w:val="a9"/>
      </w:pPr>
      <w:r>
        <w:lastRenderedPageBreak/>
        <w:t>从实际效果来看，全频段融合因子在</w:t>
      </w:r>
      <w:r>
        <w:t>2024</w:t>
      </w:r>
      <w:r>
        <w:t>年</w:t>
      </w:r>
      <w:r>
        <w:t>TOP</w:t>
      </w:r>
      <w:r>
        <w:t>层相对全</w:t>
      </w:r>
      <w:r>
        <w:t>A</w:t>
      </w:r>
      <w:r>
        <w:t>等权基准的超额收益达到</w:t>
      </w:r>
      <w:r>
        <w:t>20.29%</w:t>
      </w:r>
      <w:r>
        <w:t>，</w:t>
      </w:r>
      <w:r>
        <w:t>5</w:t>
      </w:r>
      <w:r>
        <w:t>日</w:t>
      </w:r>
      <w:r>
        <w:t>RankIC</w:t>
      </w:r>
      <w:r>
        <w:t>均值为</w:t>
      </w:r>
      <w:r>
        <w:t>0.121</w:t>
      </w:r>
      <w:r>
        <w:t>，自</w:t>
      </w:r>
      <w:r>
        <w:t>2017</w:t>
      </w:r>
      <w:r>
        <w:t>年初回测以来</w:t>
      </w:r>
      <w:r>
        <w:t>TOP</w:t>
      </w:r>
      <w:r>
        <w:t>层年化超额收益率高达</w:t>
      </w:r>
      <w:r>
        <w:t>30.92%</w:t>
      </w:r>
      <w:r>
        <w:t>，</w:t>
      </w:r>
      <w:r>
        <w:t>5</w:t>
      </w:r>
      <w:r>
        <w:t>日</w:t>
      </w:r>
      <w:r>
        <w:t>RankIC</w:t>
      </w:r>
      <w:r>
        <w:t>均值</w:t>
      </w:r>
      <w:r>
        <w:t>0.115</w:t>
      </w:r>
      <w:r>
        <w:t>。基于该因子构建的</w:t>
      </w:r>
      <w:r>
        <w:t>AI</w:t>
      </w:r>
      <w:r>
        <w:t>中证</w:t>
      </w:r>
      <w:r>
        <w:t>1000</w:t>
      </w:r>
      <w:r>
        <w:t>增强组合</w:t>
      </w:r>
      <w:r>
        <w:t>2024</w:t>
      </w:r>
      <w:r>
        <w:t>年绝对收益为</w:t>
      </w:r>
      <w:r>
        <w:t>6.26%</w:t>
      </w:r>
      <w:r>
        <w:t>，超额收益为</w:t>
      </w:r>
      <w:r>
        <w:t>5.07%</w:t>
      </w:r>
      <w:r>
        <w:t>，自</w:t>
      </w:r>
      <w:r>
        <w:t>2017</w:t>
      </w:r>
      <w:r>
        <w:t>年初回测以来相对中证</w:t>
      </w:r>
      <w:r>
        <w:t>1000</w:t>
      </w:r>
      <w:r>
        <w:t>年化超额收益率达到</w:t>
      </w:r>
      <w:r>
        <w:t>22.17%</w:t>
      </w:r>
      <w:r>
        <w:t>，年化跟踪误差为</w:t>
      </w:r>
      <w:r>
        <w:t>6.08%</w:t>
      </w:r>
      <w:r>
        <w:t>，信息比率高达</w:t>
      </w:r>
      <w:r>
        <w:t>3.65</w:t>
      </w:r>
      <w:r>
        <w:t>。这些数据充分证明了深度学习技术在因子挖掘中的巨大价值。</w:t>
      </w:r>
    </w:p>
    <w:p w14:paraId="77DF6981" w14:textId="77777777" w:rsidR="00A97131" w:rsidRDefault="00000000">
      <w:pPr>
        <w:pStyle w:val="a9"/>
      </w:pPr>
      <w:r>
        <w:t>在风险控制方面，</w:t>
      </w:r>
      <w:r>
        <w:t>2024</w:t>
      </w:r>
      <w:r>
        <w:t>年的技术创新同样取得重要进展。量化机构开始采用</w:t>
      </w:r>
      <w:r>
        <w:t>LSTM</w:t>
      </w:r>
      <w:r>
        <w:t>结合自注意力机制的神经网络结构，从股票量价数据中有效提取时序特征，并基于深度学习构建了</w:t>
      </w:r>
      <w:r>
        <w:t>8</w:t>
      </w:r>
      <w:r>
        <w:t>个维度的短周期量价风险刻画。这些风险指标对于股票周度窗口的截面收益呈现出显著的解释能力，为量化策略提供了更完善的风险管理工具。</w:t>
      </w:r>
    </w:p>
    <w:p w14:paraId="50DF7100" w14:textId="77777777" w:rsidR="00A97131" w:rsidRDefault="00000000">
      <w:pPr>
        <w:pStyle w:val="a9"/>
      </w:pPr>
      <w:r>
        <w:t>值得特别关注的是，长江证券在</w:t>
      </w:r>
      <w:r>
        <w:t>2024</w:t>
      </w:r>
      <w:r>
        <w:t>年实现了一项惊人的技术突破。该机构基于</w:t>
      </w:r>
      <w:r>
        <w:t>Level1</w:t>
      </w:r>
      <w:r>
        <w:t>高频数据重构筹码分布，通过深度学习技术将因子多头超额收益从</w:t>
      </w:r>
      <w:r>
        <w:t>16.62%</w:t>
      </w:r>
      <w:r>
        <w:t>大幅提升至</w:t>
      </w:r>
      <w:r>
        <w:t>21.76%</w:t>
      </w:r>
      <w:r>
        <w:t>，在中证全指上实现了</w:t>
      </w:r>
      <w:r>
        <w:t>32.13%</w:t>
      </w:r>
      <w:r>
        <w:t>的平均年化超额。这一成果不仅展示了深度学习在处理复杂市场微观结构数据方面的强大能力，也为行业提供了新的因子挖掘思路。</w:t>
      </w:r>
    </w:p>
    <w:p w14:paraId="26FEDFA6" w14:textId="77777777" w:rsidR="00A97131" w:rsidRDefault="00000000">
      <w:pPr>
        <w:pStyle w:val="a9"/>
      </w:pPr>
      <w:r>
        <w:t>在高频因子挖掘方面，</w:t>
      </w:r>
      <w:r>
        <w:t>2024</w:t>
      </w:r>
      <w:r>
        <w:t>年也有重要进展。</w:t>
      </w:r>
      <w:r>
        <w:t>FactorMiner</w:t>
      </w:r>
      <w:r>
        <w:t>开源了包含</w:t>
      </w:r>
      <w:r>
        <w:t>110</w:t>
      </w:r>
      <w:r>
        <w:t>个</w:t>
      </w:r>
      <w:r>
        <w:t>A</w:t>
      </w:r>
      <w:r>
        <w:t>股高频因子的因子库，每个因子都有明确的公式化表达式。清华大学、鹏城实验室的研究团队提出了</w:t>
      </w:r>
      <w:r>
        <w:t>FactorMiner</w:t>
      </w:r>
      <w:r>
        <w:t>框架，这是一个具有技能模块和经验记忆的自我进化</w:t>
      </w:r>
      <w:r>
        <w:t>AI</w:t>
      </w:r>
      <w:r>
        <w:t>智能体，专门用于可解释的公式化因子挖掘。该研究在</w:t>
      </w:r>
      <w:r>
        <w:t>A</w:t>
      </w:r>
      <w:r>
        <w:t>股和加密货币市场的多个数据集上验证，成功构建了包含</w:t>
      </w:r>
      <w:r>
        <w:t>110</w:t>
      </w:r>
      <w:r>
        <w:t>个高质量因子的库，在保持低冗余的同时实现了优异的预测性能。</w:t>
      </w:r>
    </w:p>
    <w:p w14:paraId="1AD6A432" w14:textId="77777777" w:rsidR="00A97131" w:rsidRDefault="00000000">
      <w:pPr>
        <w:pStyle w:val="3"/>
      </w:pPr>
      <w:r>
        <w:t>2.2 2025</w:t>
      </w:r>
      <w:r>
        <w:t>年：大模型技术全面渗透量化因子</w:t>
      </w:r>
    </w:p>
    <w:p w14:paraId="3765D12E" w14:textId="77777777" w:rsidR="00A97131" w:rsidRDefault="00000000">
      <w:pPr>
        <w:pStyle w:val="a9"/>
      </w:pPr>
      <w:r>
        <w:t>2025</w:t>
      </w:r>
      <w:r>
        <w:t>年，</w:t>
      </w:r>
      <w:r>
        <w:rPr>
          <w:b/>
          <w:bCs/>
        </w:rPr>
        <w:t>大语言模型（</w:t>
      </w:r>
      <w:r>
        <w:rPr>
          <w:b/>
          <w:bCs/>
        </w:rPr>
        <w:t>LLM</w:t>
      </w:r>
      <w:r>
        <w:rPr>
          <w:b/>
          <w:bCs/>
        </w:rPr>
        <w:t>）技术开始全面渗透量化因子开发的各个环节</w:t>
      </w:r>
      <w:r>
        <w:t>，标志着量化投资进入</w:t>
      </w:r>
      <w:r>
        <w:t>AI 2.0</w:t>
      </w:r>
      <w:r>
        <w:t>时代。东方证券在</w:t>
      </w:r>
      <w:r>
        <w:t>2025</w:t>
      </w:r>
      <w:r>
        <w:t>年提出了</w:t>
      </w:r>
      <w:r>
        <w:t>QuantaAlpha</w:t>
      </w:r>
      <w:r>
        <w:t>框架，这是一个将大语言模型与进化算法深度融合的</w:t>
      </w:r>
      <w:r>
        <w:t>Alpha</w:t>
      </w:r>
      <w:r>
        <w:t>因子挖掘新框架。该框架以大语言模型为核心，完整模拟量化研究员研究流程，构建了</w:t>
      </w:r>
      <w:r>
        <w:t>"</w:t>
      </w:r>
      <w:r>
        <w:t>提出假设</w:t>
      </w:r>
      <w:r>
        <w:t>→</w:t>
      </w:r>
      <w:r>
        <w:t>构建因子</w:t>
      </w:r>
      <w:r>
        <w:t>→</w:t>
      </w:r>
      <w:r>
        <w:t>回测检验</w:t>
      </w:r>
      <w:r>
        <w:t>→</w:t>
      </w:r>
      <w:r>
        <w:t>迭代优化</w:t>
      </w:r>
      <w:r>
        <w:t>→</w:t>
      </w:r>
      <w:r>
        <w:t>因子池维护</w:t>
      </w:r>
      <w:r>
        <w:t>"</w:t>
      </w:r>
      <w:r>
        <w:t>一体化自动因子挖掘体系，可生成收益稳健、风险可控且逻辑可解释的</w:t>
      </w:r>
      <w:r>
        <w:t>Alpha</w:t>
      </w:r>
      <w:r>
        <w:t>因子。</w:t>
      </w:r>
    </w:p>
    <w:p w14:paraId="5816A255" w14:textId="77777777" w:rsidR="00A97131" w:rsidRDefault="00000000">
      <w:pPr>
        <w:pStyle w:val="a9"/>
      </w:pPr>
      <w:r>
        <w:t>QuantaAlpha</w:t>
      </w:r>
      <w:r>
        <w:t>相比传统遗传规划系统实现了五大核心升级：初始种群从随机生成转为</w:t>
      </w:r>
      <w:r>
        <w:t>LLM</w:t>
      </w:r>
      <w:r>
        <w:t>结合金融逻辑驱动，初始因子质量更高、无效探索更少；进化方式从盲目随机试错转为基于完整研究轨迹的定向逻辑修复与有效重组；进化对象从单纯优化因子公式升级为优化整套研究过程并实现研究经验复用；冗余管控从单一数值约束升级为结构化去重、复杂度限制与语义校验的多维管控；可解释性从先出公式再补逻辑变为先有金融逻辑再生成因子，显著提升可靠性与投研实用性。</w:t>
      </w:r>
    </w:p>
    <w:p w14:paraId="775E81CC" w14:textId="77777777" w:rsidR="00A97131" w:rsidRDefault="00000000">
      <w:pPr>
        <w:pStyle w:val="a9"/>
      </w:pPr>
      <w:r>
        <w:t>在实际应用效果方面，中金公司的研究显示，</w:t>
      </w:r>
      <w:r>
        <w:t>LLM</w:t>
      </w:r>
      <w:r>
        <w:t>挖掘出的新因子与已有因子相关性较低（低于</w:t>
      </w:r>
      <w:r>
        <w:t>30%</w:t>
      </w:r>
      <w:r>
        <w:t>），因子</w:t>
      </w:r>
      <w:r>
        <w:t>IC</w:t>
      </w:r>
      <w:r>
        <w:t>均值可达</w:t>
      </w:r>
      <w:r>
        <w:t>3%</w:t>
      </w:r>
      <w:r>
        <w:t>以上，</w:t>
      </w:r>
      <w:r>
        <w:t>IC_IR</w:t>
      </w:r>
      <w:r>
        <w:t>甚至达到</w:t>
      </w:r>
      <w:r>
        <w:t>0.78</w:t>
      </w:r>
      <w:r>
        <w:t>，优于综合质量因子。这表明</w:t>
      </w:r>
      <w:r>
        <w:t>LLM</w:t>
      </w:r>
      <w:r>
        <w:t>不仅能够提高因子挖掘的效率，还能够发现传统方法难以找到的新型有效因子。</w:t>
      </w:r>
    </w:p>
    <w:p w14:paraId="7FA67707" w14:textId="77777777" w:rsidR="00A97131" w:rsidRDefault="00000000">
      <w:pPr>
        <w:pStyle w:val="a9"/>
      </w:pPr>
      <w:r>
        <w:lastRenderedPageBreak/>
        <w:t>2025</w:t>
      </w:r>
      <w:r>
        <w:t>年</w:t>
      </w:r>
      <w:r>
        <w:t>7</w:t>
      </w:r>
      <w:r>
        <w:t>月，港城大学与上海财大联合推出了</w:t>
      </w:r>
      <w:r>
        <w:t>EFS</w:t>
      </w:r>
      <w:r>
        <w:t>（</w:t>
      </w:r>
      <w:r>
        <w:t>Evolutionary Factor Searching</w:t>
      </w:r>
      <w:r>
        <w:t>）框架，这是一个更加激进的创新尝试。该框架将大语言模型转变为具备创造力的</w:t>
      </w:r>
      <w:r>
        <w:t>"</w:t>
      </w:r>
      <w:r>
        <w:t>因子设计师</w:t>
      </w:r>
      <w:r>
        <w:t>"</w:t>
      </w:r>
      <w:r>
        <w:t>，构建了一个动态、闭环的因子进化系统，实现了从因子挖掘到组合构建的端到端自动化。</w:t>
      </w:r>
      <w:r>
        <w:t>EFS</w:t>
      </w:r>
      <w:r>
        <w:t>的工作流程包括：系统通过回测评估并筛选出</w:t>
      </w:r>
      <w:r>
        <w:t>"</w:t>
      </w:r>
      <w:r>
        <w:t>精英因子</w:t>
      </w:r>
      <w:r>
        <w:t>"</w:t>
      </w:r>
      <w:r>
        <w:t>；将精英因子信息打包成</w:t>
      </w:r>
      <w:r>
        <w:t>Prompt</w:t>
      </w:r>
      <w:r>
        <w:t>，驱动</w:t>
      </w:r>
      <w:r>
        <w:t>LLM</w:t>
      </w:r>
      <w:r>
        <w:t>进行交叉和变异，生成新因子；新因子通过验证后加入因子池，同时淘汰旧因子。这个</w:t>
      </w:r>
      <w:r>
        <w:t>"</w:t>
      </w:r>
      <w:r>
        <w:t>评估</w:t>
      </w:r>
      <w:r>
        <w:t>-</w:t>
      </w:r>
      <w:r>
        <w:t>生成</w:t>
      </w:r>
      <w:r>
        <w:t>-</w:t>
      </w:r>
      <w:r>
        <w:t>验证</w:t>
      </w:r>
      <w:r>
        <w:t>"</w:t>
      </w:r>
      <w:r>
        <w:t>的循环确保了因子库的持续进化和高质量。</w:t>
      </w:r>
    </w:p>
    <w:p w14:paraId="30313491" w14:textId="77777777" w:rsidR="00A97131" w:rsidRDefault="00000000">
      <w:pPr>
        <w:pStyle w:val="a9"/>
      </w:pPr>
      <w:r>
        <w:t>实证结果显示，</w:t>
      </w:r>
      <w:r>
        <w:t>EFS</w:t>
      </w:r>
      <w:r>
        <w:t>框架在美股、港股、</w:t>
      </w:r>
      <w:r>
        <w:t>A</w:t>
      </w:r>
      <w:r>
        <w:t>股市场均取得了显著的超额收益。尤其在美国市场，其累计财富是基准策略的近</w:t>
      </w:r>
      <w:r>
        <w:t>8.7</w:t>
      </w:r>
      <w:r>
        <w:t>倍，夏普比率也翻了一倍以上。这一成果充分证明了大模型技术在因子进化和策略优化方面的巨大潜力。</w:t>
      </w:r>
    </w:p>
    <w:p w14:paraId="6ABA5D3D" w14:textId="77777777" w:rsidR="00A97131" w:rsidRDefault="00000000">
      <w:pPr>
        <w:pStyle w:val="a9"/>
      </w:pPr>
      <w:r>
        <w:t>在因子挖掘效率方面，</w:t>
      </w:r>
      <w:r>
        <w:t>2025</w:t>
      </w:r>
      <w:r>
        <w:t>年的技术进步同样令人瞩目。海富通基金使用</w:t>
      </w:r>
      <w:r>
        <w:t>LLM</w:t>
      </w:r>
      <w:r>
        <w:t>分析每日数万条新闻、研报，自动生成个股情绪打分因子，该因子对股价的预测准确度较传统基本面因子提升</w:t>
      </w:r>
      <w:r>
        <w:t>23%</w:t>
      </w:r>
      <w:r>
        <w:t>。</w:t>
      </w:r>
      <w:r>
        <w:t>DeepSeek</w:t>
      </w:r>
      <w:r>
        <w:t>结合卫星图像与产业链舆情，生成</w:t>
      </w:r>
      <w:r>
        <w:t>"</w:t>
      </w:r>
      <w:r>
        <w:t>开工率预测因子</w:t>
      </w:r>
      <w:r>
        <w:t>"</w:t>
      </w:r>
      <w:r>
        <w:t>，对制造业板块的择时准确率达到</w:t>
      </w:r>
      <w:r>
        <w:t>78%</w:t>
      </w:r>
      <w:r>
        <w:t>，这是传统方法难以实现的突破。</w:t>
      </w:r>
    </w:p>
    <w:p w14:paraId="0A97E0B4" w14:textId="77777777" w:rsidR="00A97131" w:rsidRDefault="00000000">
      <w:pPr>
        <w:pStyle w:val="3"/>
      </w:pPr>
      <w:r>
        <w:t>2.3 2026</w:t>
      </w:r>
      <w:r>
        <w:t>年：技术融合创新与多模态</w:t>
      </w:r>
      <w:r>
        <w:t>AI</w:t>
      </w:r>
      <w:r>
        <w:t>因子</w:t>
      </w:r>
    </w:p>
    <w:p w14:paraId="7F94104F" w14:textId="77777777" w:rsidR="00A97131" w:rsidRDefault="00000000">
      <w:pPr>
        <w:pStyle w:val="a9"/>
      </w:pPr>
      <w:r>
        <w:t>进入</w:t>
      </w:r>
      <w:r>
        <w:t>2026</w:t>
      </w:r>
      <w:r>
        <w:t>年，</w:t>
      </w:r>
      <w:r>
        <w:t>A</w:t>
      </w:r>
      <w:r>
        <w:t>股量化因子技术开发呈现出</w:t>
      </w:r>
      <w:r>
        <w:rPr>
          <w:b/>
          <w:bCs/>
        </w:rPr>
        <w:t>多技术融合和多模态数据处理</w:t>
      </w:r>
      <w:r>
        <w:t>的创新趋势。多模态</w:t>
      </w:r>
      <w:r>
        <w:t>AI</w:t>
      </w:r>
      <w:r>
        <w:t>因子成为新的技术热点，这类因子能够整合文本、图像、语音等非结构化数据，挖掘传统量化模型无法捕捉的信息。这种技术突破的核心在于将财报、行业景气、宏观数据、研报文本等非结构化信息，通过</w:t>
      </w:r>
      <w:r>
        <w:t>AI</w:t>
      </w:r>
      <w:r>
        <w:t>转化为可量化的投资信号。</w:t>
      </w:r>
    </w:p>
    <w:p w14:paraId="6E42AC5E" w14:textId="77777777" w:rsidR="00A97131" w:rsidRDefault="00000000">
      <w:pPr>
        <w:pStyle w:val="a9"/>
      </w:pPr>
      <w:r>
        <w:t>在实际应用中，量化机构开始将</w:t>
      </w:r>
      <w:r>
        <w:t>"</w:t>
      </w:r>
      <w:r>
        <w:t>卫星遥感开工率</w:t>
      </w:r>
      <w:r>
        <w:t>""</w:t>
      </w:r>
      <w:r>
        <w:t>舆情情绪强度</w:t>
      </w:r>
      <w:r>
        <w:t>"</w:t>
      </w:r>
      <w:r>
        <w:t>等</w:t>
      </w:r>
      <w:r>
        <w:t>12</w:t>
      </w:r>
      <w:r>
        <w:t>个多模态因子纳入核心因子库，通过因果推理剔除高相关性</w:t>
      </w:r>
      <w:r>
        <w:t>"</w:t>
      </w:r>
      <w:r>
        <w:t>伪因子</w:t>
      </w:r>
      <w:r>
        <w:t>"</w:t>
      </w:r>
      <w:r>
        <w:t>，使策略重合度从</w:t>
      </w:r>
      <w:r>
        <w:t>68%</w:t>
      </w:r>
      <w:r>
        <w:t>降至</w:t>
      </w:r>
      <w:r>
        <w:t>35%</w:t>
      </w:r>
      <w:r>
        <w:t>。</w:t>
      </w:r>
      <w:r>
        <w:t>2025</w:t>
      </w:r>
      <w:r>
        <w:t>年，这种</w:t>
      </w:r>
      <w:r>
        <w:t>"</w:t>
      </w:r>
      <w:r>
        <w:t>因果因子增强策略</w:t>
      </w:r>
      <w:r>
        <w:t>"</w:t>
      </w:r>
      <w:r>
        <w:t>实现了年化超额</w:t>
      </w:r>
      <w:r>
        <w:t>18.7%</w:t>
      </w:r>
      <w:r>
        <w:t>，最大回撤仅</w:t>
      </w:r>
      <w:r>
        <w:t>4.9%</w:t>
      </w:r>
      <w:r>
        <w:t>，显著优于行业平均水平（超额</w:t>
      </w:r>
      <w:r>
        <w:t>12.3%</w:t>
      </w:r>
      <w:r>
        <w:t>，回撤</w:t>
      </w:r>
      <w:r>
        <w:t>8.1%</w:t>
      </w:r>
      <w:r>
        <w:t>）。</w:t>
      </w:r>
    </w:p>
    <w:p w14:paraId="0EDB9427" w14:textId="77777777" w:rsidR="00A97131" w:rsidRDefault="00000000">
      <w:pPr>
        <w:pStyle w:val="a9"/>
      </w:pPr>
      <w:r>
        <w:rPr>
          <w:b/>
          <w:bCs/>
        </w:rPr>
        <w:t>量子计算技术</w:t>
      </w:r>
      <w:r>
        <w:t>在</w:t>
      </w:r>
      <w:r>
        <w:t>2026</w:t>
      </w:r>
      <w:r>
        <w:t>年开始在量化因子优化领域展现潜力。摩根大通使用量子支持向量机（</w:t>
      </w:r>
      <w:r>
        <w:t>QSVM</w:t>
      </w:r>
      <w:r>
        <w:t>）预测汇率波动，将夏普比率从</w:t>
      </w:r>
      <w:r>
        <w:t>1.2</w:t>
      </w:r>
      <w:r>
        <w:t>提升至</w:t>
      </w:r>
      <w:r>
        <w:t>3.8</w:t>
      </w:r>
      <w:r>
        <w:t>。在高频交易方面，量子时序预测模型能够处理</w:t>
      </w:r>
      <w:r>
        <w:t>1000</w:t>
      </w:r>
      <w:r>
        <w:t>维因子，预测窗口从</w:t>
      </w:r>
      <w:r>
        <w:t>10</w:t>
      </w:r>
      <w:r>
        <w:t>分钟扩展到</w:t>
      </w:r>
      <w:r>
        <w:t>72</w:t>
      </w:r>
      <w:r>
        <w:t>小时，策略波动率降低</w:t>
      </w:r>
      <w:r>
        <w:t>60%</w:t>
      </w:r>
      <w:r>
        <w:t>。某</w:t>
      </w:r>
      <w:r>
        <w:t>50</w:t>
      </w:r>
      <w:r>
        <w:t>亿美元规模基金采用</w:t>
      </w:r>
      <w:r>
        <w:t>QAOA</w:t>
      </w:r>
      <w:r>
        <w:t>算法优化投资组合，年超额收益达到</w:t>
      </w:r>
      <w:r>
        <w:t>27%</w:t>
      </w:r>
      <w:r>
        <w:t>。这些成果表明，量子计算技术有望为量化投资带来革命性的计算能力提升。</w:t>
      </w:r>
    </w:p>
    <w:p w14:paraId="18CF5557" w14:textId="77777777" w:rsidR="00A97131" w:rsidRDefault="00000000">
      <w:pPr>
        <w:pStyle w:val="a9"/>
      </w:pPr>
      <w:r>
        <w:t>在</w:t>
      </w:r>
      <w:r>
        <w:rPr>
          <w:b/>
          <w:bCs/>
        </w:rPr>
        <w:t>实时因子计算架构</w:t>
      </w:r>
      <w:r>
        <w:t>方面，</w:t>
      </w:r>
      <w:r>
        <w:t>2026</w:t>
      </w:r>
      <w:r>
        <w:t>年出现了多项重要创新。</w:t>
      </w:r>
      <w:r>
        <w:t>DolphinDB</w:t>
      </w:r>
      <w:r>
        <w:t>推出的</w:t>
      </w:r>
      <w:r>
        <w:t>Swordfish</w:t>
      </w:r>
      <w:r>
        <w:t>架构专为逐笔行情设计，</w:t>
      </w:r>
      <w:r>
        <w:t>108</w:t>
      </w:r>
      <w:r>
        <w:t>个因子并发计算平均时延仅</w:t>
      </w:r>
      <w:r>
        <w:t>42.7</w:t>
      </w:r>
      <w:r>
        <w:t>微秒，优于</w:t>
      </w:r>
      <w:r>
        <w:t>C++</w:t>
      </w:r>
      <w:r>
        <w:t>方案的</w:t>
      </w:r>
      <w:r>
        <w:t>100</w:t>
      </w:r>
      <w:r>
        <w:t>微秒。该系统内置超过</w:t>
      </w:r>
      <w:r>
        <w:t>20</w:t>
      </w:r>
      <w:r>
        <w:t>种流计算引擎，覆盖时间序列、横截面、异常检测、规则匹配、订单簿构建等场景，其中响应式状态引擎可高效完成复杂状态化因子的实时计算。</w:t>
      </w:r>
    </w:p>
    <w:p w14:paraId="6509B4C8" w14:textId="77777777" w:rsidR="00A97131" w:rsidRDefault="00000000">
      <w:pPr>
        <w:pStyle w:val="a9"/>
      </w:pPr>
      <w:r>
        <w:t>星环科技的</w:t>
      </w:r>
      <w:r>
        <w:t>TransQuant</w:t>
      </w:r>
      <w:r>
        <w:t>产品基于自主研发分布式计算框架，打通了海量多模态智能投研到实时超高频交易的瓶颈，支持</w:t>
      </w:r>
      <w:r>
        <w:t>TB-PB</w:t>
      </w:r>
      <w:r>
        <w:t>级海量数据因子研究、</w:t>
      </w:r>
      <w:r>
        <w:t>Tick</w:t>
      </w:r>
      <w:r>
        <w:t>级高精度回测和模拟分析、深度学习研究</w:t>
      </w:r>
      <w:r>
        <w:t>+</w:t>
      </w:r>
      <w:r>
        <w:t>实盘框架、</w:t>
      </w:r>
      <w:r>
        <w:t>GPU</w:t>
      </w:r>
      <w:r>
        <w:t>分布式衍生品定价等功能。这种一体化的技术架构为量化机构提供了从研究到生产的完整解决方案。</w:t>
      </w:r>
    </w:p>
    <w:p w14:paraId="4069561E" w14:textId="77777777" w:rsidR="00A97131" w:rsidRDefault="00000000">
      <w:pPr>
        <w:pStyle w:val="a9"/>
      </w:pPr>
      <w:r>
        <w:rPr>
          <w:b/>
          <w:bCs/>
        </w:rPr>
        <w:lastRenderedPageBreak/>
        <w:t>AI Agent</w:t>
      </w:r>
      <w:r>
        <w:rPr>
          <w:b/>
          <w:bCs/>
        </w:rPr>
        <w:t>技术</w:t>
      </w:r>
      <w:r>
        <w:t>在</w:t>
      </w:r>
      <w:r>
        <w:t>2026</w:t>
      </w:r>
      <w:r>
        <w:t>年实现了从概念到落地的关键突破。蝶威量化的垂直</w:t>
      </w:r>
      <w:r>
        <w:t>Agent</w:t>
      </w:r>
      <w:r>
        <w:t>系统已覆盖从券商研报因子提取、因子优化裂变、代码生成与回测执行，到绩效评判与入库决策的全流程，形成闭环式</w:t>
      </w:r>
      <w:r>
        <w:t>"</w:t>
      </w:r>
      <w:r>
        <w:t>数字投研工厂</w:t>
      </w:r>
      <w:r>
        <w:t>"</w:t>
      </w:r>
      <w:r>
        <w:t>，并已实现</w:t>
      </w:r>
      <w:r>
        <w:t>7×24</w:t>
      </w:r>
      <w:r>
        <w:t>小时不间断运转。该系统的效率提升令人震撼：传统手工投研需要</w:t>
      </w:r>
      <w:r>
        <w:t>90-180</w:t>
      </w:r>
      <w:r>
        <w:t>天完成的因子产出目标，</w:t>
      </w:r>
      <w:r>
        <w:t>AI Agent</w:t>
      </w:r>
      <w:r>
        <w:t>矩阵仅用</w:t>
      </w:r>
      <w:r>
        <w:t>7</w:t>
      </w:r>
      <w:r>
        <w:t>天即可完成。</w:t>
      </w:r>
    </w:p>
    <w:p w14:paraId="2419813C" w14:textId="77777777" w:rsidR="00A97131" w:rsidRDefault="00000000">
      <w:pPr>
        <w:pStyle w:val="a9"/>
      </w:pPr>
      <w:r>
        <w:t>更重要的是，</w:t>
      </w:r>
      <w:r>
        <w:t>AI Agent</w:t>
      </w:r>
      <w:r>
        <w:t>技术正在重塑量化投资的人才需求结构。基础研究员岗位需求明显减少，但两类人才需求更强：一是具备深厚金融认知的资深研究员，能对</w:t>
      </w:r>
      <w:r>
        <w:t>Agent</w:t>
      </w:r>
      <w:r>
        <w:t>的产出进行专业评判；二是深度掌握</w:t>
      </w:r>
      <w:r>
        <w:t>AI</w:t>
      </w:r>
      <w:r>
        <w:t>工具的复合型人才，能与</w:t>
      </w:r>
      <w:r>
        <w:t>Agent</w:t>
      </w:r>
      <w:r>
        <w:t>系统高效协作。投研人员的工作内容正从</w:t>
      </w:r>
      <w:r>
        <w:t>"</w:t>
      </w:r>
      <w:r>
        <w:t>以编码为中心</w:t>
      </w:r>
      <w:r>
        <w:t>"</w:t>
      </w:r>
      <w:r>
        <w:t>转向</w:t>
      </w:r>
      <w:r>
        <w:t>"</w:t>
      </w:r>
      <w:r>
        <w:t>以编排和测试为中心</w:t>
      </w:r>
      <w:r>
        <w:t>"</w:t>
      </w:r>
      <w:r>
        <w:t>。</w:t>
      </w:r>
    </w:p>
    <w:p w14:paraId="017FA774" w14:textId="77777777" w:rsidR="00A97131" w:rsidRDefault="00000000">
      <w:pPr>
        <w:pStyle w:val="3"/>
      </w:pPr>
      <w:r>
        <w:t xml:space="preserve">2.4 </w:t>
      </w:r>
      <w:r>
        <w:t>头部机构技术实践案例</w:t>
      </w:r>
    </w:p>
    <w:p w14:paraId="1947B9A7" w14:textId="77777777" w:rsidR="00A97131" w:rsidRDefault="00000000">
      <w:pPr>
        <w:pStyle w:val="a9"/>
      </w:pPr>
      <w:r>
        <w:t>头部量化机构在技术创新方面的实践为整个行业提供了宝贵的经验。</w:t>
      </w:r>
      <w:r>
        <w:rPr>
          <w:b/>
          <w:bCs/>
        </w:rPr>
        <w:t>幻方量化</w:t>
      </w:r>
      <w:r>
        <w:t>作为行业领军者，其</w:t>
      </w:r>
      <w:r>
        <w:t>AI</w:t>
      </w:r>
      <w:r>
        <w:t>技术应用已经形成了完整的生态体系。在模型架构方面，幻方采用</w:t>
      </w:r>
      <w:r>
        <w:t>"</w:t>
      </w:r>
      <w:r>
        <w:t>分层稀疏激活</w:t>
      </w:r>
      <w:r>
        <w:t>"</w:t>
      </w:r>
      <w:r>
        <w:t>架构，通过动态剪枝技术，推理时仅激活</w:t>
      </w:r>
      <w:r>
        <w:t>30%</w:t>
      </w:r>
      <w:r>
        <w:t>左右参数即可保持</w:t>
      </w:r>
      <w:r>
        <w:t>90%</w:t>
      </w:r>
      <w:r>
        <w:t>以上任务准确率，大幅降低计算延迟。在因子构成方面，价量因子占比</w:t>
      </w:r>
      <w:r>
        <w:t>40%</w:t>
      </w:r>
      <w:r>
        <w:t>，聚焦自适应动量、流动性溢价等短周期预测；基本面因子占比</w:t>
      </w:r>
      <w:r>
        <w:t>30%</w:t>
      </w:r>
      <w:r>
        <w:t>，关注预期外盈利修正、现金流质量等；另类数据因子占比</w:t>
      </w:r>
      <w:r>
        <w:t>20%</w:t>
      </w:r>
      <w:r>
        <w:t>，包括卫星图像分析、社交媒体情绪挖掘等。</w:t>
      </w:r>
    </w:p>
    <w:p w14:paraId="6FA9EB19" w14:textId="77777777" w:rsidR="00A97131" w:rsidRDefault="00000000">
      <w:pPr>
        <w:pStyle w:val="a9"/>
      </w:pPr>
      <w:r>
        <w:t>幻方的三层策略池架构展现了其技术的系统性：底层为动态筛选的庞大因子库，通过遗传算法优化；中层是基于</w:t>
      </w:r>
      <w:r>
        <w:t>PPO</w:t>
      </w:r>
      <w:r>
        <w:t>等强化学习的策略工厂，可动态调整参数；顶层采用</w:t>
      </w:r>
      <w:r>
        <w:t>CVaR</w:t>
      </w:r>
      <w:r>
        <w:t>模型分配风险预算，单策略连续亏损超阈值将触发熔断。在基础设施方面，幻方自建的</w:t>
      </w:r>
      <w:r>
        <w:t>"</w:t>
      </w:r>
      <w:r>
        <w:t>萤火二号</w:t>
      </w:r>
      <w:r>
        <w:t>"</w:t>
      </w:r>
      <w:r>
        <w:t>超算搭载约</w:t>
      </w:r>
      <w:r>
        <w:t>1</w:t>
      </w:r>
      <w:r>
        <w:t>万张英伟达</w:t>
      </w:r>
      <w:r>
        <w:t>A100</w:t>
      </w:r>
      <w:r>
        <w:t>显卡，自研的</w:t>
      </w:r>
      <w:r>
        <w:t>DeepSeek</w:t>
      </w:r>
      <w:r>
        <w:t>大语言模型已应用于因子挖掘与行情预测。</w:t>
      </w:r>
    </w:p>
    <w:p w14:paraId="64AD0299" w14:textId="77777777" w:rsidR="00A97131" w:rsidRDefault="00000000">
      <w:pPr>
        <w:pStyle w:val="a9"/>
      </w:pPr>
      <w:r>
        <w:rPr>
          <w:b/>
          <w:bCs/>
        </w:rPr>
        <w:t>鸣熙资本</w:t>
      </w:r>
      <w:r>
        <w:t>在</w:t>
      </w:r>
      <w:r>
        <w:t>2026</w:t>
      </w:r>
      <w:r>
        <w:t>年推出的</w:t>
      </w:r>
      <w:r>
        <w:t>NOVA</w:t>
      </w:r>
      <w:r>
        <w:t>系统代表了下一代量化旗舰架构的发展方向。该系统包含三大核心智能体模块：感知智能体（因子挖掘与特征提取）、认知智能体（策略生成与优化）、执行智能体（交易执行与风控），共同构成了能够</w:t>
      </w:r>
      <w:r>
        <w:t>"</w:t>
      </w:r>
      <w:r>
        <w:t>感知</w:t>
      </w:r>
      <w:r>
        <w:t>-</w:t>
      </w:r>
      <w:r>
        <w:t>计划</w:t>
      </w:r>
      <w:r>
        <w:t>-</w:t>
      </w:r>
      <w:r>
        <w:t>执行</w:t>
      </w:r>
      <w:r>
        <w:t>"</w:t>
      </w:r>
      <w:r>
        <w:t>的闭环体系。这种架构设计体现了从单一技术突破向系统化智能体系的演进趋势。</w:t>
      </w:r>
    </w:p>
    <w:p w14:paraId="5C498803" w14:textId="77777777" w:rsidR="00A97131" w:rsidRDefault="00000000">
      <w:pPr>
        <w:pStyle w:val="a9"/>
      </w:pPr>
      <w:r>
        <w:t>在</w:t>
      </w:r>
      <w:r>
        <w:rPr>
          <w:b/>
          <w:bCs/>
        </w:rPr>
        <w:t>强化学习应用</w:t>
      </w:r>
      <w:r>
        <w:t>方面，</w:t>
      </w:r>
      <w:r>
        <w:t>2026</w:t>
      </w:r>
      <w:r>
        <w:t>年出现了多项重要进展。</w:t>
      </w:r>
      <w:r>
        <w:t>T2RL</w:t>
      </w:r>
      <w:r>
        <w:t>框架将</w:t>
      </w:r>
      <w:r>
        <w:t>Transformer</w:t>
      </w:r>
      <w:r>
        <w:t>模型与强化学习算法有机结合，第一阶段通过深度学习挖掘具备投资信号的因子，第二阶段利用强化学习进行动态权重优化，实现了从个股预测到投资组合构建的完整闭环。</w:t>
      </w:r>
      <w:r>
        <w:t>PPO</w:t>
      </w:r>
      <w:r>
        <w:t>强化学习在动态资产配置中的应用也取得突破，通过构建适配</w:t>
      </w:r>
      <w:r>
        <w:t>A</w:t>
      </w:r>
      <w:r>
        <w:t>股约束的强化学习交易环境，采用</w:t>
      </w:r>
      <w:r>
        <w:t>PPO</w:t>
      </w:r>
      <w:r>
        <w:t>连续动作算法完成动态仓位优化，在样本外推理期，策略在收益、回撤、卡玛比率等指标上均显著优于等权基准。</w:t>
      </w:r>
    </w:p>
    <w:p w14:paraId="0BF3D287" w14:textId="77777777" w:rsidR="00A97131" w:rsidRDefault="00000000">
      <w:pPr>
        <w:pStyle w:val="a9"/>
      </w:pPr>
      <w:r>
        <w:t>实证数据显示，动态调整权重的模型比固定权重年化收益高出</w:t>
      </w:r>
      <w:r>
        <w:t>4.2%</w:t>
      </w:r>
      <w:r>
        <w:t>，最大回撤降低</w:t>
      </w:r>
      <w:r>
        <w:t>15%</w:t>
      </w:r>
      <w:r>
        <w:t>。</w:t>
      </w:r>
      <w:r>
        <w:t>Adaptive Alpha Weighting with PPO</w:t>
      </w:r>
      <w:r>
        <w:t>框架专门用于优化基于提示的</w:t>
      </w:r>
      <w:r>
        <w:t>LLM</w:t>
      </w:r>
      <w:r>
        <w:t>生成的</w:t>
      </w:r>
      <w:r>
        <w:t>Alpha</w:t>
      </w:r>
      <w:r>
        <w:t>因子权重分配，</w:t>
      </w:r>
      <w:r>
        <w:t>PPO</w:t>
      </w:r>
      <w:r>
        <w:t>算法特别适合处理连续动作空间的问题，如权重调整。</w:t>
      </w:r>
    </w:p>
    <w:p w14:paraId="23E04D0D" w14:textId="77777777" w:rsidR="00A97131" w:rsidRDefault="00000000">
      <w:pPr>
        <w:pStyle w:val="a9"/>
      </w:pPr>
      <w:r>
        <w:t>在</w:t>
      </w:r>
      <w:r>
        <w:rPr>
          <w:b/>
          <w:bCs/>
        </w:rPr>
        <w:t>图神经网络应用</w:t>
      </w:r>
      <w:r>
        <w:t>方面，</w:t>
      </w:r>
      <w:r>
        <w:t>GrifFinNet</w:t>
      </w:r>
      <w:r>
        <w:t>模型在多关系图建模和时序编码中显著提升了收益预测精度。该模型构建多关系图（行业归属、机构共持），编码经济意义的依赖性；采用自适应门控</w:t>
      </w:r>
      <w:r>
        <w:lastRenderedPageBreak/>
        <w:t>融合模块，动态调整不同关系权重以适配市场状态；设计紧密时空集成架构，端到端优化空间与时序特征。实证效果显示，在</w:t>
      </w:r>
      <w:r>
        <w:t>A</w:t>
      </w:r>
      <w:r>
        <w:t>股沪深</w:t>
      </w:r>
      <w:r>
        <w:t>300/800</w:t>
      </w:r>
      <w:r>
        <w:t>成分股的收益预测中，准确性显著优于传统模型，投资组合能稳定获取超额收益。</w:t>
      </w:r>
    </w:p>
    <w:p w14:paraId="6EF8B48D" w14:textId="77777777" w:rsidR="00A97131" w:rsidRDefault="00000000">
      <w:pPr>
        <w:pStyle w:val="2"/>
      </w:pPr>
      <w:r>
        <w:t>三、近三年因子使用频率变化趋势</w:t>
      </w:r>
    </w:p>
    <w:p w14:paraId="56337457" w14:textId="77777777" w:rsidR="00A97131" w:rsidRDefault="00000000">
      <w:pPr>
        <w:pStyle w:val="3"/>
      </w:pPr>
      <w:r>
        <w:t xml:space="preserve">3.1 </w:t>
      </w:r>
      <w:r>
        <w:t>头部机构因子库规模扩张</w:t>
      </w:r>
    </w:p>
    <w:p w14:paraId="0F0315D6" w14:textId="77777777" w:rsidR="00A97131" w:rsidRDefault="00000000">
      <w:pPr>
        <w:pStyle w:val="a9"/>
      </w:pPr>
      <w:r>
        <w:t>近三年来，</w:t>
      </w:r>
      <w:r>
        <w:t>A</w:t>
      </w:r>
      <w:r>
        <w:t>股量化机构的因子库规模呈现出</w:t>
      </w:r>
      <w:r>
        <w:rPr>
          <w:b/>
          <w:bCs/>
        </w:rPr>
        <w:t>爆发式增长</w:t>
      </w:r>
      <w:r>
        <w:t>的态势，头部机构与中小机构之间的技术鸿沟持续扩大。根据最新统计数据，头部对冲基金的因子库规模已达到</w:t>
      </w:r>
      <w:r>
        <w:t>2000-5000</w:t>
      </w:r>
      <w:r>
        <w:t>个有效因子，中型量化私募为</w:t>
      </w:r>
      <w:r>
        <w:t>300-800</w:t>
      </w:r>
      <w:r>
        <w:t>个核心因子，而学术研究常用的经典因子仅为</w:t>
      </w:r>
      <w:r>
        <w:t>150-200</w:t>
      </w:r>
      <w:r>
        <w:t>个。这种巨大的规模差异反映了不同类型机构在技术投入和研发能力上的显著差距。</w:t>
      </w:r>
    </w:p>
    <w:p w14:paraId="04695942" w14:textId="77777777" w:rsidR="00A97131" w:rsidRDefault="00000000">
      <w:pPr>
        <w:pStyle w:val="a9"/>
      </w:pPr>
      <w:r>
        <w:t>更令人震惊的是，国内顶尖的量化团队因子库规模已经超过</w:t>
      </w:r>
      <w:r>
        <w:t>8000</w:t>
      </w:r>
      <w:r>
        <w:t>个，而头部机构通过</w:t>
      </w:r>
      <w:r>
        <w:t>AI</w:t>
      </w:r>
      <w:r>
        <w:t>自动挖掘已经达到百万级因子库的规模。幻方、九坤、明汯、衍复等头部机构从</w:t>
      </w:r>
      <w:r>
        <w:t>700</w:t>
      </w:r>
      <w:r>
        <w:t>亿区间跃升至</w:t>
      </w:r>
      <w:r>
        <w:t>800-900</w:t>
      </w:r>
      <w:r>
        <w:t>亿规模，单季度增长超百亿，其因子挖掘能力已经达到</w:t>
      </w:r>
      <w:r>
        <w:t>AI</w:t>
      </w:r>
      <w:r>
        <w:t>自动生成筛选迭代，研发效率是人工的</w:t>
      </w:r>
      <w:r>
        <w:t>100</w:t>
      </w:r>
      <w:r>
        <w:t>倍以上。这种技术能力的飞跃使得头部机构能够从</w:t>
      </w:r>
      <w:r>
        <w:t>"</w:t>
      </w:r>
      <w:r>
        <w:t>手工科研</w:t>
      </w:r>
      <w:r>
        <w:t>"</w:t>
      </w:r>
      <w:r>
        <w:t>转向</w:t>
      </w:r>
      <w:r>
        <w:t>"</w:t>
      </w:r>
      <w:r>
        <w:t>智能实验</w:t>
      </w:r>
      <w:r>
        <w:t>"</w:t>
      </w:r>
      <w:r>
        <w:t>，大幅提升了因子挖掘的效率和质量。</w:t>
      </w:r>
    </w:p>
    <w:p w14:paraId="5891FA63" w14:textId="77777777" w:rsidR="00A97131" w:rsidRDefault="00000000">
      <w:pPr>
        <w:pStyle w:val="a9"/>
      </w:pPr>
      <w:r>
        <w:t>在因子类型分布方面，不同机构呈现出明显的差异化特征。广发金工的</w:t>
      </w:r>
      <w:r>
        <w:t>Alpha</w:t>
      </w:r>
      <w:r>
        <w:t>因子数据库基于</w:t>
      </w:r>
      <w:r>
        <w:t>mysql8.0</w:t>
      </w:r>
      <w:r>
        <w:t>构建，覆盖基本面因子、</w:t>
      </w:r>
      <w:r>
        <w:t>Level-1</w:t>
      </w:r>
      <w:r>
        <w:t>中高频因子、</w:t>
      </w:r>
      <w:r>
        <w:t>Level-2</w:t>
      </w:r>
      <w:r>
        <w:t>高频因子、机器学习因子、另类数据因子五大类别，配套</w:t>
      </w:r>
      <w:r>
        <w:t>100TB</w:t>
      </w:r>
      <w:r>
        <w:t>级存储与高性能计算资源。国泰君安资管量化团队的因子库约有</w:t>
      </w:r>
      <w:r>
        <w:t>2000</w:t>
      </w:r>
      <w:r>
        <w:t>多个，其中约</w:t>
      </w:r>
      <w:r>
        <w:t>70%</w:t>
      </w:r>
      <w:r>
        <w:t>是量价因子，因子库与公募同行可能有较大差异。</w:t>
      </w:r>
    </w:p>
    <w:p w14:paraId="733F97C1" w14:textId="77777777" w:rsidR="00A97131" w:rsidRDefault="00000000">
      <w:pPr>
        <w:pStyle w:val="a9"/>
      </w:pPr>
      <w:r>
        <w:t>天弘基金的因子库建设体现了公募基金的特点，存量因子库接近</w:t>
      </w:r>
      <w:r>
        <w:t>400</w:t>
      </w:r>
      <w:r>
        <w:t>个因子，涵盖</w:t>
      </w:r>
      <w:r>
        <w:t>20</w:t>
      </w:r>
      <w:r>
        <w:t>多个大类，既有人工挖掘的基本面类因子（财务类因子、预期类因子等），也有机器学习、深度学习模型挖掘的因子。在实际应用中，沪深</w:t>
      </w:r>
      <w:r>
        <w:t>300</w:t>
      </w:r>
      <w:r>
        <w:t>指增用到</w:t>
      </w:r>
      <w:r>
        <w:t>100</w:t>
      </w:r>
      <w:r>
        <w:t>余个因子，基本面占比</w:t>
      </w:r>
      <w:r>
        <w:t>70%</w:t>
      </w:r>
      <w:r>
        <w:t>，中频量价占比</w:t>
      </w:r>
      <w:r>
        <w:t>30%</w:t>
      </w:r>
      <w:r>
        <w:t>；中证</w:t>
      </w:r>
      <w:r>
        <w:t>1000</w:t>
      </w:r>
      <w:r>
        <w:t>指增用到</w:t>
      </w:r>
      <w:r>
        <w:t>300+</w:t>
      </w:r>
      <w:r>
        <w:t>个因子，量价的占比更高。</w:t>
      </w:r>
    </w:p>
    <w:p w14:paraId="69ADC79D" w14:textId="77777777" w:rsidR="00A97131" w:rsidRDefault="00000000">
      <w:pPr>
        <w:pStyle w:val="3"/>
      </w:pPr>
      <w:r>
        <w:t xml:space="preserve">3.2 </w:t>
      </w:r>
      <w:r>
        <w:t>不同规模机构因子选择差异</w:t>
      </w:r>
    </w:p>
    <w:p w14:paraId="4ACFBFA8" w14:textId="77777777" w:rsidR="00A97131" w:rsidRDefault="00000000">
      <w:pPr>
        <w:pStyle w:val="a9"/>
      </w:pPr>
      <w:r>
        <w:t>机构规模的差异直接决定了其在因子选择和使用上的能力边界。</w:t>
      </w:r>
      <w:r>
        <w:rPr>
          <w:b/>
          <w:bCs/>
        </w:rPr>
        <w:t>百亿级头部机构</w:t>
      </w:r>
      <w:r>
        <w:t>拥有强大的技术实力和资源投入，其单策略容量达到</w:t>
      </w:r>
      <w:r>
        <w:t>50-100</w:t>
      </w:r>
      <w:r>
        <w:t>亿，年化超额收益</w:t>
      </w:r>
      <w:r>
        <w:t>18-25%</w:t>
      </w:r>
      <w:r>
        <w:t>，因子迭代周期为日周级，</w:t>
      </w:r>
      <w:r>
        <w:t>AI</w:t>
      </w:r>
      <w:r>
        <w:t>投入占比超过</w:t>
      </w:r>
      <w:r>
        <w:t>30%</w:t>
      </w:r>
      <w:r>
        <w:t>。这些机构能够处理</w:t>
      </w:r>
      <w:r>
        <w:t>TB</w:t>
      </w:r>
      <w:r>
        <w:t>级另类数据，如卫星图像、产业链爬虫数据等，实现全流程自研大模型，拥有超算集群和</w:t>
      </w:r>
      <w:r>
        <w:t>PB</w:t>
      </w:r>
      <w:r>
        <w:t>级全维度数据。</w:t>
      </w:r>
    </w:p>
    <w:p w14:paraId="1EF85FE8" w14:textId="77777777" w:rsidR="00A97131" w:rsidRDefault="00000000">
      <w:pPr>
        <w:pStyle w:val="a9"/>
      </w:pPr>
      <w:r>
        <w:t>以幻方为例，其</w:t>
      </w:r>
      <w:r>
        <w:t>AI</w:t>
      </w:r>
      <w:r>
        <w:t>模型可处理</w:t>
      </w:r>
      <w:r>
        <w:t>TB</w:t>
      </w:r>
      <w:r>
        <w:t>级另类数据，而非头部机构</w:t>
      </w:r>
      <w:r>
        <w:t>80%</w:t>
      </w:r>
      <w:r>
        <w:t>数据仍依赖传统行情和基本面数据。这种数据处理能力的差异直接影响了因子的丰富度和有效性。头部</w:t>
      </w:r>
      <w:r>
        <w:t>10</w:t>
      </w:r>
      <w:r>
        <w:t>家量化私募在</w:t>
      </w:r>
      <w:r>
        <w:t>2025</w:t>
      </w:r>
      <w:r>
        <w:t>年量化指增产品平均超额收益达到</w:t>
      </w:r>
      <w:r>
        <w:t>17.25%</w:t>
      </w:r>
      <w:r>
        <w:t>，其中</w:t>
      </w:r>
      <w:r>
        <w:t>AI</w:t>
      </w:r>
      <w:r>
        <w:t>投入占比超</w:t>
      </w:r>
      <w:r>
        <w:t>30%</w:t>
      </w:r>
      <w:r>
        <w:t>的机构，超额收益稳定性（信息比率）是行业平均的</w:t>
      </w:r>
      <w:r>
        <w:t>1.8</w:t>
      </w:r>
      <w:r>
        <w:t>倍。</w:t>
      </w:r>
    </w:p>
    <w:p w14:paraId="398412E2" w14:textId="77777777" w:rsidR="00A97131" w:rsidRDefault="00000000">
      <w:pPr>
        <w:pStyle w:val="a9"/>
      </w:pPr>
      <w:r>
        <w:rPr>
          <w:b/>
          <w:bCs/>
        </w:rPr>
        <w:lastRenderedPageBreak/>
        <w:t>十亿级中型机构</w:t>
      </w:r>
      <w:r>
        <w:t>的情况则有所不同，其单策略容量为</w:t>
      </w:r>
      <w:r>
        <w:t>10-30</w:t>
      </w:r>
      <w:r>
        <w:t>亿，超额收益</w:t>
      </w:r>
      <w:r>
        <w:t>8-15%</w:t>
      </w:r>
      <w:r>
        <w:t>，主要依靠传统模型和部分</w:t>
      </w:r>
      <w:r>
        <w:t>AI</w:t>
      </w:r>
      <w:r>
        <w:t>技术结合。这类机构通常拥有</w:t>
      </w:r>
      <w:r>
        <w:t>300-800</w:t>
      </w:r>
      <w:r>
        <w:t>个核心因子，在技术投入和创新能力上处于中等水平，能够跟随行业趋势但缺乏引领性创新。</w:t>
      </w:r>
    </w:p>
    <w:p w14:paraId="1AD54C82" w14:textId="77777777" w:rsidR="00A97131" w:rsidRDefault="00000000">
      <w:pPr>
        <w:pStyle w:val="a9"/>
      </w:pPr>
      <w:r>
        <w:rPr>
          <w:b/>
          <w:bCs/>
        </w:rPr>
        <w:t>亿级以下小型机构</w:t>
      </w:r>
      <w:r>
        <w:t>面临着严峻的生存挑战，仍依赖传统模型，超额收益不稳定，差距持续拉大。这类机构通常只有千级规模的因子库，以基本面价值成长因子为主，因子迭代周期超过</w:t>
      </w:r>
      <w:r>
        <w:t>1</w:t>
      </w:r>
      <w:r>
        <w:t>年，以线性因子为主，少量非线性因子，无跨模态复合因子。</w:t>
      </w:r>
    </w:p>
    <w:p w14:paraId="03E4D9FE" w14:textId="77777777" w:rsidR="00A97131" w:rsidRDefault="00000000">
      <w:pPr>
        <w:pStyle w:val="a9"/>
      </w:pPr>
      <w:r>
        <w:t>从技术能力的角度来看，不同规模机构呈现出明显的梯队特征。第一梯队的头部私募拥有百万级因子库，全流程自研大模型，超算集群</w:t>
      </w:r>
      <w:r>
        <w:t>PB</w:t>
      </w:r>
      <w:r>
        <w:t>级全维度数据，年化超额</w:t>
      </w:r>
      <w:r>
        <w:t>18-25%</w:t>
      </w:r>
      <w:r>
        <w:t>，日周级迭代，单策略容量</w:t>
      </w:r>
      <w:r>
        <w:t>50-100</w:t>
      </w:r>
      <w:r>
        <w:t>亿，核心壁垒为算力、数据、人才机制。第二梯队为</w:t>
      </w:r>
      <w:r>
        <w:t>20-100</w:t>
      </w:r>
      <w:r>
        <w:t>亿规模的机构，具备一定特色但综合实力稍逊。第三梯队为</w:t>
      </w:r>
      <w:r>
        <w:t>20</w:t>
      </w:r>
      <w:r>
        <w:t>亿以下的小型机构，在技术和规模上都处于劣势地位。</w:t>
      </w:r>
    </w:p>
    <w:p w14:paraId="7D8B92AD" w14:textId="77777777" w:rsidR="00A97131" w:rsidRDefault="00000000">
      <w:pPr>
        <w:pStyle w:val="3"/>
      </w:pPr>
      <w:r>
        <w:t xml:space="preserve">3.3 </w:t>
      </w:r>
      <w:r>
        <w:t>不同策略类型因子依赖度变化</w:t>
      </w:r>
    </w:p>
    <w:p w14:paraId="6E86F9E5" w14:textId="77777777" w:rsidR="00A97131" w:rsidRDefault="00000000">
      <w:pPr>
        <w:pStyle w:val="a9"/>
      </w:pPr>
      <w:r>
        <w:t>不同量化策略类型对因子的依赖程度呈现出显著差异，这种差异反映了各类策略的投资逻辑和风险收益特征。在</w:t>
      </w:r>
      <w:r>
        <w:rPr>
          <w:b/>
          <w:bCs/>
        </w:rPr>
        <w:t>指数增强策略</w:t>
      </w:r>
      <w:r>
        <w:t>中，因子使用呈现出明显的市值分层特征。沪深</w:t>
      </w:r>
      <w:r>
        <w:t>300</w:t>
      </w:r>
      <w:r>
        <w:t>指增主要使用</w:t>
      </w:r>
      <w:r>
        <w:t>100</w:t>
      </w:r>
      <w:r>
        <w:t>余个因子，基本面因子占比约</w:t>
      </w:r>
      <w:r>
        <w:t>70%</w:t>
      </w:r>
      <w:r>
        <w:t>，量价因子占比约</w:t>
      </w:r>
      <w:r>
        <w:t>30%</w:t>
      </w:r>
      <w:r>
        <w:t>；中证</w:t>
      </w:r>
      <w:r>
        <w:t>1000</w:t>
      </w:r>
      <w:r>
        <w:t>指增使用</w:t>
      </w:r>
      <w:r>
        <w:t>300+</w:t>
      </w:r>
      <w:r>
        <w:t>个因子，量价因子占比更高。这种差异主要是因为大盘股的基本面信息更加充分，而小盘股的价格发现机制更多依赖于交易行为。</w:t>
      </w:r>
    </w:p>
    <w:p w14:paraId="4B2DBA8E" w14:textId="77777777" w:rsidR="00A97131" w:rsidRDefault="00000000">
      <w:pPr>
        <w:pStyle w:val="a9"/>
      </w:pPr>
      <w:r>
        <w:t>从策略规模分布来看，截至</w:t>
      </w:r>
      <w:r>
        <w:t>2025Q2</w:t>
      </w:r>
      <w:r>
        <w:t>，指数增强产品规模占比最高，总规模达到</w:t>
      </w:r>
      <w:r>
        <w:t>2192.08</w:t>
      </w:r>
      <w:r>
        <w:t>亿元，其中沪深</w:t>
      </w:r>
      <w:r>
        <w:t>300</w:t>
      </w:r>
      <w:r>
        <w:t>指增规模领先，中证</w:t>
      </w:r>
      <w:r>
        <w:t>500</w:t>
      </w:r>
      <w:r>
        <w:t>指增规模次之，中证</w:t>
      </w:r>
      <w:r>
        <w:t>A500</w:t>
      </w:r>
      <w:r>
        <w:t>指增规模超</w:t>
      </w:r>
      <w:r>
        <w:t>200</w:t>
      </w:r>
      <w:r>
        <w:t>亿元，中证</w:t>
      </w:r>
      <w:r>
        <w:t>1000</w:t>
      </w:r>
      <w:r>
        <w:t>指增规模相对落后。在新发产品方面，</w:t>
      </w:r>
      <w:r>
        <w:t>2025</w:t>
      </w:r>
      <w:r>
        <w:t>年上半年指数增强基金新发</w:t>
      </w:r>
      <w:r>
        <w:t>82</w:t>
      </w:r>
      <w:r>
        <w:t>只，发行规模</w:t>
      </w:r>
      <w:r>
        <w:t>394.42</w:t>
      </w:r>
      <w:r>
        <w:t>亿元，主要包括</w:t>
      </w:r>
      <w:r>
        <w:t>44</w:t>
      </w:r>
      <w:r>
        <w:t>只</w:t>
      </w:r>
      <w:r>
        <w:t>A500</w:t>
      </w:r>
      <w:r>
        <w:t>指增基金（</w:t>
      </w:r>
      <w:r>
        <w:t>233.21</w:t>
      </w:r>
      <w:r>
        <w:t>亿元）和</w:t>
      </w:r>
      <w:r>
        <w:t>19</w:t>
      </w:r>
      <w:r>
        <w:t>只科创板相关指数增强基金（</w:t>
      </w:r>
      <w:r>
        <w:t>102.61</w:t>
      </w:r>
      <w:r>
        <w:t>亿元）。</w:t>
      </w:r>
    </w:p>
    <w:p w14:paraId="345AB6DF" w14:textId="77777777" w:rsidR="00A97131" w:rsidRDefault="00000000">
      <w:pPr>
        <w:pStyle w:val="a9"/>
      </w:pPr>
      <w:r>
        <w:rPr>
          <w:b/>
          <w:bCs/>
        </w:rPr>
        <w:t>主动量化策略</w:t>
      </w:r>
      <w:r>
        <w:t>的因子使用更加多元化。截至</w:t>
      </w:r>
      <w:r>
        <w:t>2025Q3</w:t>
      </w:r>
      <w:r>
        <w:t>，公募主动量化基金共</w:t>
      </w:r>
      <w:r>
        <w:t>434</w:t>
      </w:r>
      <w:r>
        <w:t>支，总规模约</w:t>
      </w:r>
      <w:r>
        <w:t>1706</w:t>
      </w:r>
      <w:r>
        <w:t>亿元，占公募全市场比</w:t>
      </w:r>
      <w:r>
        <w:t>0.77%</w:t>
      </w:r>
      <w:r>
        <w:t>。从策略类型来看，宽基型主动量化基金数量和规模均领先，</w:t>
      </w:r>
      <w:r>
        <w:t>Smartbeta</w:t>
      </w:r>
      <w:r>
        <w:t>型产品共</w:t>
      </w:r>
      <w:r>
        <w:t>33</w:t>
      </w:r>
      <w:r>
        <w:t>只、规模</w:t>
      </w:r>
      <w:r>
        <w:t>106.27</w:t>
      </w:r>
      <w:r>
        <w:t>亿元（其中</w:t>
      </w:r>
      <w:r>
        <w:t>30</w:t>
      </w:r>
      <w:r>
        <w:t>只为红利或高股息主题），行业主题主动量化产品共</w:t>
      </w:r>
      <w:r>
        <w:t>36</w:t>
      </w:r>
      <w:r>
        <w:t>只、规模</w:t>
      </w:r>
      <w:r>
        <w:t>74</w:t>
      </w:r>
      <w:r>
        <w:t>亿元。</w:t>
      </w:r>
    </w:p>
    <w:p w14:paraId="17266853" w14:textId="77777777" w:rsidR="00A97131" w:rsidRDefault="00000000">
      <w:pPr>
        <w:pStyle w:val="a9"/>
      </w:pPr>
      <w:r>
        <w:t>在因子构成方面，主动量化策略通常包含上百个因子，涵盖价值、成长、动量、波动率、财务质量、交易行为等多个维度。某机构的多因子策略中，</w:t>
      </w:r>
      <w:r>
        <w:t>70%-80%</w:t>
      </w:r>
      <w:r>
        <w:t>是基本面因子，卫星策略更是以基本面为主。这种高比例的基本面因子配置体现了主动量化策略追求长期稳定收益的特点。</w:t>
      </w:r>
    </w:p>
    <w:p w14:paraId="377CED6D" w14:textId="77777777" w:rsidR="00A97131" w:rsidRDefault="00000000">
      <w:pPr>
        <w:pStyle w:val="a9"/>
      </w:pPr>
      <w:r>
        <w:rPr>
          <w:b/>
          <w:bCs/>
        </w:rPr>
        <w:t>市场中性策略</w:t>
      </w:r>
      <w:r>
        <w:t>在</w:t>
      </w:r>
      <w:r>
        <w:t>2024</w:t>
      </w:r>
      <w:r>
        <w:t>年经历了重大调整。幻方量化在</w:t>
      </w:r>
      <w:r>
        <w:t>2024</w:t>
      </w:r>
      <w:r>
        <w:t>年逐步退出市场中性策略，清空对冲产品仓位，转向股票量化多头和指数增强策略，主要是为了应对市场暴涨导致的基差收敛与空头端超预期亏损。这一调整反映了市场环境变化对策略选择的重要影响。</w:t>
      </w:r>
    </w:p>
    <w:p w14:paraId="4EAD4E0E" w14:textId="77777777" w:rsidR="00A97131" w:rsidRDefault="00000000">
      <w:pPr>
        <w:pStyle w:val="a9"/>
      </w:pPr>
      <w:r>
        <w:rPr>
          <w:b/>
          <w:bCs/>
        </w:rPr>
        <w:t>CTA</w:t>
      </w:r>
      <w:r>
        <w:rPr>
          <w:b/>
          <w:bCs/>
        </w:rPr>
        <w:t>策略</w:t>
      </w:r>
      <w:r>
        <w:t>的因子使用具有独特性，主要基于期货合约历史交易数据，运用统计和数量化模型挖掘价格变化规律。按照投资方法论不同，可分为趋势跟踪、套利、复合策略三种策略类型。</w:t>
      </w:r>
      <w:r>
        <w:lastRenderedPageBreak/>
        <w:t>CTA</w:t>
      </w:r>
      <w:r>
        <w:t>策略通常使用的因子包括价格趋势、动量信号、波动率、持仓量等，这些因子与股票策略使用的因子有很大差异。</w:t>
      </w:r>
    </w:p>
    <w:p w14:paraId="699858A8" w14:textId="77777777" w:rsidR="00A97131" w:rsidRDefault="00000000">
      <w:pPr>
        <w:pStyle w:val="3"/>
      </w:pPr>
      <w:r>
        <w:t xml:space="preserve">3.4 </w:t>
      </w:r>
      <w:r>
        <w:t>传统因子与</w:t>
      </w:r>
      <w:r>
        <w:t>AI</w:t>
      </w:r>
      <w:r>
        <w:t>因子使用比例演变</w:t>
      </w:r>
    </w:p>
    <w:p w14:paraId="148E229D" w14:textId="77777777" w:rsidR="00A97131" w:rsidRDefault="00000000">
      <w:pPr>
        <w:pStyle w:val="a9"/>
      </w:pPr>
      <w:r>
        <w:t>传统因子与</w:t>
      </w:r>
      <w:r>
        <w:t>AI</w:t>
      </w:r>
      <w:r>
        <w:t>因子的使用比例演变反映了量化投资技术的深刻变革。从因子类型分布的历史数据来看，早期的因子构成中，价量因子占比</w:t>
      </w:r>
      <w:r>
        <w:t>60%</w:t>
      </w:r>
      <w:r>
        <w:t>，基本面因子占比</w:t>
      </w:r>
      <w:r>
        <w:t>30%</w:t>
      </w:r>
      <w:r>
        <w:t>，另类因子占比</w:t>
      </w:r>
      <w:r>
        <w:t>10%</w:t>
      </w:r>
      <w:r>
        <w:t>。而在头部机构的实际应用中，传统量化因子约占模型权重的</w:t>
      </w:r>
      <w:r>
        <w:t>30%</w:t>
      </w:r>
      <w:r>
        <w:t>，</w:t>
      </w:r>
      <w:r>
        <w:t>AI</w:t>
      </w:r>
      <w:r>
        <w:t>衍生因子占比达到</w:t>
      </w:r>
      <w:r>
        <w:t>70%</w:t>
      </w:r>
      <w:r>
        <w:t>。这种巨大的差异表明，</w:t>
      </w:r>
      <w:r>
        <w:t>AI</w:t>
      </w:r>
      <w:r>
        <w:t>技术已经成为头部机构获取超额收益的核心驱动力。</w:t>
      </w:r>
    </w:p>
    <w:p w14:paraId="2BD2A4FF" w14:textId="77777777" w:rsidR="00A97131" w:rsidRDefault="00000000">
      <w:pPr>
        <w:pStyle w:val="a9"/>
      </w:pPr>
      <w:r>
        <w:t>在因子挖掘方式上，呈现出从人工主导向机器主导的转变趋势。人工挖掘因子可解释性强，衰减速度慢；机器学习挖掘因子数量多，衰减快，两者结合可进行有效互补。头部管理人的机器挖掘因子数量已经远超人工因子，组合因子的主流方法包括树模型、深度学习、强化学习。</w:t>
      </w:r>
    </w:p>
    <w:p w14:paraId="4B109ACF" w14:textId="77777777" w:rsidR="00A97131" w:rsidRDefault="00000000">
      <w:pPr>
        <w:pStyle w:val="a9"/>
      </w:pPr>
      <w:r>
        <w:rPr>
          <w:b/>
          <w:bCs/>
        </w:rPr>
        <w:t>高频因子向中低频因子的迁移</w:t>
      </w:r>
      <w:r>
        <w:t>成为</w:t>
      </w:r>
      <w:r>
        <w:t>2024-2026</w:t>
      </w:r>
      <w:r>
        <w:t>年最显著的趋势之一。监管政策是推动这一迁移的重要因素，《程序化交易管理办法》设置了</w:t>
      </w:r>
      <w:r>
        <w:t>"</w:t>
      </w:r>
      <w:r>
        <w:t>每秒</w:t>
      </w:r>
      <w:r>
        <w:t>≥300</w:t>
      </w:r>
      <w:r>
        <w:t>笔</w:t>
      </w:r>
      <w:r>
        <w:t>/</w:t>
      </w:r>
      <w:r>
        <w:t>单日</w:t>
      </w:r>
      <w:r>
        <w:t>≥2</w:t>
      </w:r>
      <w:r>
        <w:t>万笔</w:t>
      </w:r>
      <w:r>
        <w:t>"</w:t>
      </w:r>
      <w:r>
        <w:t>的高频红线，强制</w:t>
      </w:r>
      <w:r>
        <w:t>200</w:t>
      </w:r>
      <w:r>
        <w:t>微秒报备延迟，撤单率超</w:t>
      </w:r>
      <w:r>
        <w:t>30%</w:t>
      </w:r>
      <w:r>
        <w:t>即熔断。这些监管措施导致高频交易占比从</w:t>
      </w:r>
      <w:r>
        <w:t>2022</w:t>
      </w:r>
      <w:r>
        <w:t>年的</w:t>
      </w:r>
      <w:r>
        <w:t>35%</w:t>
      </w:r>
      <w:r>
        <w:t>急剧下降至</w:t>
      </w:r>
      <w:r>
        <w:t>2025</w:t>
      </w:r>
      <w:r>
        <w:t>年的</w:t>
      </w:r>
      <w:r>
        <w:t>18%</w:t>
      </w:r>
      <w:r>
        <w:t>，年化换手率</w:t>
      </w:r>
      <w:r>
        <w:t>200</w:t>
      </w:r>
      <w:r>
        <w:t>倍以上的策略基本失效。</w:t>
      </w:r>
    </w:p>
    <w:p w14:paraId="570FDEAD" w14:textId="77777777" w:rsidR="00A97131" w:rsidRDefault="00000000">
      <w:pPr>
        <w:pStyle w:val="a9"/>
      </w:pPr>
      <w:r>
        <w:t>从技术演进的角度来看，量化投资经历了从</w:t>
      </w:r>
      <w:r>
        <w:t>Quant 1.0</w:t>
      </w:r>
      <w:r>
        <w:t>（</w:t>
      </w:r>
      <w:r>
        <w:t>2000</w:t>
      </w:r>
      <w:r>
        <w:t>年代</w:t>
      </w:r>
      <w:r>
        <w:t>-2010</w:t>
      </w:r>
      <w:r>
        <w:t>年代初）的经典因子模型阶段，到</w:t>
      </w:r>
      <w:r>
        <w:t>Quant 2.0</w:t>
      </w:r>
      <w:r>
        <w:t>（</w:t>
      </w:r>
      <w:r>
        <w:t>2010</w:t>
      </w:r>
      <w:r>
        <w:t>年代中期）的技术进阶阶段，再到</w:t>
      </w:r>
      <w:r>
        <w:t>Quant 3.0</w:t>
      </w:r>
      <w:r>
        <w:t>（</w:t>
      </w:r>
      <w:r>
        <w:t>2015-2023</w:t>
      </w:r>
      <w:r>
        <w:t>年）的机器学习大规模应用阶段，目前已经进入</w:t>
      </w:r>
      <w:r>
        <w:t>Quant 4.0</w:t>
      </w:r>
      <w:r>
        <w:t>（</w:t>
      </w:r>
      <w:r>
        <w:t>2024</w:t>
      </w:r>
      <w:r>
        <w:t>年至今）的</w:t>
      </w:r>
      <w:r>
        <w:t>Multi-Agent</w:t>
      </w:r>
      <w:r>
        <w:t>协同时代。每个阶段的演进都伴随着因子技术的重大突破。</w:t>
      </w:r>
    </w:p>
    <w:p w14:paraId="16DE66C5" w14:textId="77777777" w:rsidR="00A97131" w:rsidRDefault="00000000">
      <w:pPr>
        <w:pStyle w:val="a9"/>
      </w:pPr>
      <w:r>
        <w:t>在因子有效性方面，不同类型因子呈现出明显的生命周期差异。简单量价因子的半衰期为</w:t>
      </w:r>
      <w:r>
        <w:t>3-6</w:t>
      </w:r>
      <w:r>
        <w:t>个月，复合量价因子为</w:t>
      </w:r>
      <w:r>
        <w:t>6-12</w:t>
      </w:r>
      <w:r>
        <w:t>个月，基本面因子为</w:t>
      </w:r>
      <w:r>
        <w:t>1-3</w:t>
      </w:r>
      <w:r>
        <w:t>年，情绪因子为</w:t>
      </w:r>
      <w:r>
        <w:t>1-6</w:t>
      </w:r>
      <w:r>
        <w:t>个月。这种差异要求机构必须持续进行因子更新和优化，而</w:t>
      </w:r>
      <w:r>
        <w:t>AI</w:t>
      </w:r>
      <w:r>
        <w:t>技术的应用显著提升了这一过程的效率。</w:t>
      </w:r>
    </w:p>
    <w:p w14:paraId="6D1957D3" w14:textId="77777777" w:rsidR="00A97131" w:rsidRDefault="00000000">
      <w:pPr>
        <w:pStyle w:val="a9"/>
      </w:pPr>
      <w:r>
        <w:t>从实际应用效果来看，</w:t>
      </w:r>
      <w:r>
        <w:t>2025</w:t>
      </w:r>
      <w:r>
        <w:t>年的因子表现经历了显著的轮动。</w:t>
      </w:r>
      <w:r>
        <w:t>2024</w:t>
      </w:r>
      <w:r>
        <w:t>年上半年，由于市场极度悲观，基本面因子（如红利、高盈利、低估值）是避风港；然而进入</w:t>
      </w:r>
      <w:r>
        <w:t>2025</w:t>
      </w:r>
      <w:r>
        <w:t>年，尤其是下半年，量价因子重新夺回统治地位。这种轮动特征要求量化机构必须具备灵活的因子配置能力，而</w:t>
      </w:r>
      <w:r>
        <w:t>AI</w:t>
      </w:r>
      <w:r>
        <w:t>技术为实现这种灵活性提供了技术支撑。</w:t>
      </w:r>
    </w:p>
    <w:p w14:paraId="004B25B4" w14:textId="77777777" w:rsidR="00A97131" w:rsidRDefault="00000000">
      <w:pPr>
        <w:pStyle w:val="a9"/>
      </w:pPr>
      <w:r>
        <w:t>值得注意的是，尽管</w:t>
      </w:r>
      <w:r>
        <w:t>AI</w:t>
      </w:r>
      <w:r>
        <w:t>因子在头部机构中占据主导地位，但传统因子并未消失，而是与</w:t>
      </w:r>
      <w:r>
        <w:t>AI</w:t>
      </w:r>
      <w:r>
        <w:t>因子形成了互补关系。在实际应用中，机构通常采用</w:t>
      </w:r>
      <w:r>
        <w:t>"</w:t>
      </w:r>
      <w:r>
        <w:t>传统因子打底</w:t>
      </w:r>
      <w:r>
        <w:t>+AI</w:t>
      </w:r>
      <w:r>
        <w:t>因子增强</w:t>
      </w:r>
      <w:r>
        <w:t>"</w:t>
      </w:r>
      <w:r>
        <w:t>的策略，既保证了策略的稳健性，又提升了收益的弹性。这种融合模式可能是未来量化投资发展的主要方向。</w:t>
      </w:r>
    </w:p>
    <w:p w14:paraId="5DF21B2B" w14:textId="77777777" w:rsidR="00A97131" w:rsidRDefault="00000000">
      <w:pPr>
        <w:pStyle w:val="2"/>
      </w:pPr>
      <w:r>
        <w:t>四、总结与展望</w:t>
      </w:r>
    </w:p>
    <w:p w14:paraId="2C0923FB" w14:textId="77777777" w:rsidR="00A97131" w:rsidRDefault="00000000">
      <w:pPr>
        <w:pStyle w:val="3"/>
      </w:pPr>
      <w:r>
        <w:t xml:space="preserve">4.1 </w:t>
      </w:r>
      <w:r>
        <w:t>机构因子体系发展总结</w:t>
      </w:r>
    </w:p>
    <w:p w14:paraId="75B6107F" w14:textId="77777777" w:rsidR="00A97131" w:rsidRDefault="00000000">
      <w:pPr>
        <w:pStyle w:val="a9"/>
      </w:pPr>
      <w:r>
        <w:lastRenderedPageBreak/>
        <w:t>经过对</w:t>
      </w:r>
      <w:r>
        <w:t>A</w:t>
      </w:r>
      <w:r>
        <w:t>股市场公募和私募基金机构因子体系的深入分析，我们可以看到，当前</w:t>
      </w:r>
      <w:r>
        <w:t>A</w:t>
      </w:r>
      <w:r>
        <w:t>股量化投资已经形成了</w:t>
      </w:r>
      <w:r>
        <w:rPr>
          <w:b/>
          <w:bCs/>
        </w:rPr>
        <w:t>高度分化但又相互补充</w:t>
      </w:r>
      <w:r>
        <w:t>的因子生态格局。公募基金以基本面因子为核心（占比</w:t>
      </w:r>
      <w:r>
        <w:t>70%-80%</w:t>
      </w:r>
      <w:r>
        <w:t>），追求长期稳健收益，年换手率</w:t>
      </w:r>
      <w:r>
        <w:t>2-20</w:t>
      </w:r>
      <w:r>
        <w:t>倍，严格控制行业和风格偏离在</w:t>
      </w:r>
      <w:r>
        <w:t>1%-2%</w:t>
      </w:r>
      <w:r>
        <w:t>以内；私募基金则以量价因子为主导（占比</w:t>
      </w:r>
      <w:r>
        <w:t>60%-70%</w:t>
      </w:r>
      <w:r>
        <w:t>），强调高频交易和超额收益弹性，年换手率</w:t>
      </w:r>
      <w:r>
        <w:t>30</w:t>
      </w:r>
      <w:r>
        <w:t>倍以上，策略更加多元化。</w:t>
      </w:r>
    </w:p>
    <w:p w14:paraId="64A3E0CE" w14:textId="77777777" w:rsidR="00A97131" w:rsidRDefault="00000000">
      <w:pPr>
        <w:pStyle w:val="a9"/>
      </w:pPr>
      <w:r>
        <w:t>这种分化格局的形成有其深刻的制度和市场根源。公募基金受到严格的监管约束和投资者赎回压力，必须在风险可控的前提下追求稳健收益；私募基金则面临更高的业绩压力和激励机制，能够承担更高的风险以追求更高的收益。两者在因子选择上的差异实际上反映了不同的投资哲学和风险管理理念。</w:t>
      </w:r>
    </w:p>
    <w:p w14:paraId="7DF424A9" w14:textId="77777777" w:rsidR="00A97131" w:rsidRDefault="00000000">
      <w:pPr>
        <w:pStyle w:val="a9"/>
      </w:pPr>
      <w:r>
        <w:t>从技术发展的角度来看，近三年</w:t>
      </w:r>
      <w:r>
        <w:t>A</w:t>
      </w:r>
      <w:r>
        <w:t>股量化因子技术经历了从深度学习到</w:t>
      </w:r>
      <w:r>
        <w:t>AI</w:t>
      </w:r>
      <w:r>
        <w:t>大模型再到多模态融合的快速演进。</w:t>
      </w:r>
      <w:r>
        <w:t>2024</w:t>
      </w:r>
      <w:r>
        <w:t>年的全频段量价融合技术实现了</w:t>
      </w:r>
      <w:r>
        <w:t>20.29%</w:t>
      </w:r>
      <w:r>
        <w:t>的年度超额收益；</w:t>
      </w:r>
      <w:r>
        <w:t>2025</w:t>
      </w:r>
      <w:r>
        <w:t>年大模型技术全面渗透，</w:t>
      </w:r>
      <w:r>
        <w:t>EFS</w:t>
      </w:r>
      <w:r>
        <w:t>框架实现了</w:t>
      </w:r>
      <w:r>
        <w:t>8.7</w:t>
      </w:r>
      <w:r>
        <w:t>倍的收益提升；</w:t>
      </w:r>
      <w:r>
        <w:t>2026</w:t>
      </w:r>
      <w:r>
        <w:t>年多模态</w:t>
      </w:r>
      <w:r>
        <w:t>AI</w:t>
      </w:r>
      <w:r>
        <w:t>因子和量子计算开始展现潜力。技术进步不仅提升了因子的预测能力，更重要的是将因子研发周期从传统的</w:t>
      </w:r>
      <w:r>
        <w:t>180</w:t>
      </w:r>
      <w:r>
        <w:t>天压缩至</w:t>
      </w:r>
      <w:r>
        <w:t>7</w:t>
      </w:r>
      <w:r>
        <w:t>天，实现了质的飞跃。</w:t>
      </w:r>
    </w:p>
    <w:p w14:paraId="1A2F61D4" w14:textId="77777777" w:rsidR="00A97131" w:rsidRDefault="00000000">
      <w:pPr>
        <w:pStyle w:val="3"/>
      </w:pPr>
      <w:r>
        <w:t xml:space="preserve">4.2 </w:t>
      </w:r>
      <w:r>
        <w:t>技术演进趋势展望</w:t>
      </w:r>
    </w:p>
    <w:p w14:paraId="26C8D45D" w14:textId="77777777" w:rsidR="00A97131" w:rsidRDefault="00000000">
      <w:pPr>
        <w:pStyle w:val="a9"/>
      </w:pPr>
      <w:r>
        <w:t>展望未来，</w:t>
      </w:r>
      <w:r>
        <w:t>A</w:t>
      </w:r>
      <w:r>
        <w:t>股量化因子技术将继续沿着</w:t>
      </w:r>
      <w:r>
        <w:rPr>
          <w:b/>
          <w:bCs/>
        </w:rPr>
        <w:t>智能化、融合化、实时化</w:t>
      </w:r>
      <w:r>
        <w:t>的方向发展。在智能化方面，</w:t>
      </w:r>
      <w:r>
        <w:t>AI Agent</w:t>
      </w:r>
      <w:r>
        <w:t>技术将从辅助工具转变为核心生产力，实现因子挖掘、策略生成、风险控制的全流程自动化。头部机构已经实现了</w:t>
      </w:r>
      <w:r>
        <w:t>7×24</w:t>
      </w:r>
      <w:r>
        <w:t>小时不间断的</w:t>
      </w:r>
      <w:r>
        <w:t>"</w:t>
      </w:r>
      <w:r>
        <w:t>数字投研工厂</w:t>
      </w:r>
      <w:r>
        <w:t>"</w:t>
      </w:r>
      <w:r>
        <w:t>运作，这一模式将逐渐向全行业普及。</w:t>
      </w:r>
    </w:p>
    <w:p w14:paraId="0187BF2B" w14:textId="77777777" w:rsidR="00A97131" w:rsidRDefault="00000000">
      <w:pPr>
        <w:pStyle w:val="a9"/>
      </w:pPr>
      <w:r>
        <w:t>在融合化方面，多模态数据融合将成为主流趋势。整合文本、图像、语音等非结构化数据，通过</w:t>
      </w:r>
      <w:r>
        <w:t>AI</w:t>
      </w:r>
      <w:r>
        <w:t>技术挖掘传统量化模型无法捕捉的信息，已经在实践中取得了显著成效。将</w:t>
      </w:r>
      <w:r>
        <w:t>"</w:t>
      </w:r>
      <w:r>
        <w:t>卫星遥感开工率</w:t>
      </w:r>
      <w:r>
        <w:t>""</w:t>
      </w:r>
      <w:r>
        <w:t>舆情情绪强度</w:t>
      </w:r>
      <w:r>
        <w:t>"</w:t>
      </w:r>
      <w:r>
        <w:t>等多模态因子纳入核心因子库，使策略重合度从</w:t>
      </w:r>
      <w:r>
        <w:t>68%</w:t>
      </w:r>
      <w:r>
        <w:t>降至</w:t>
      </w:r>
      <w:r>
        <w:t>35%</w:t>
      </w:r>
      <w:r>
        <w:t>，年化超额达到</w:t>
      </w:r>
      <w:r>
        <w:t>18.7%</w:t>
      </w:r>
      <w:r>
        <w:t>。未来，随着数据来源的不断丰富和</w:t>
      </w:r>
      <w:r>
        <w:t>AI</w:t>
      </w:r>
      <w:r>
        <w:t>技术的持续进步，这种融合将更加深入和广泛。</w:t>
      </w:r>
    </w:p>
    <w:p w14:paraId="4FBD7DC2" w14:textId="77777777" w:rsidR="00A97131" w:rsidRDefault="00000000">
      <w:pPr>
        <w:pStyle w:val="a9"/>
      </w:pPr>
      <w:r>
        <w:t>在实时化方面，随着硬件技术的进步和算法的优化，因子计算的实时性将大幅提升。</w:t>
      </w:r>
      <w:r>
        <w:t>DolphinDB</w:t>
      </w:r>
      <w:r>
        <w:t>的</w:t>
      </w:r>
      <w:r>
        <w:t>Swordfish</w:t>
      </w:r>
      <w:r>
        <w:t>架构已经实现了</w:t>
      </w:r>
      <w:r>
        <w:t>108</w:t>
      </w:r>
      <w:r>
        <w:t>个因子并发计算平均时延仅</w:t>
      </w:r>
      <w:r>
        <w:t>42.7</w:t>
      </w:r>
      <w:r>
        <w:t>微秒的惊人性能。未来，随着量子计算技术的成熟和应用，因子计算能力将实现指数级的提升，为更复杂的策略和更精细的风险管理提供技术支撑。</w:t>
      </w:r>
    </w:p>
    <w:p w14:paraId="338E4A9A" w14:textId="77777777" w:rsidR="00A97131" w:rsidRDefault="00000000">
      <w:pPr>
        <w:pStyle w:val="3"/>
      </w:pPr>
      <w:r>
        <w:t xml:space="preserve">4.3 </w:t>
      </w:r>
      <w:r>
        <w:t>投资建议</w:t>
      </w:r>
    </w:p>
    <w:p w14:paraId="74D0D40D" w14:textId="77777777" w:rsidR="00A97131" w:rsidRDefault="00000000">
      <w:pPr>
        <w:pStyle w:val="a9"/>
      </w:pPr>
      <w:r>
        <w:t>基于对</w:t>
      </w:r>
      <w:r>
        <w:t>A</w:t>
      </w:r>
      <w:r>
        <w:t>股机构因子体系和技术发展趋势的分析，我们对不同类型的市场参与者提出以下建议：</w:t>
      </w:r>
    </w:p>
    <w:p w14:paraId="0A63FC53" w14:textId="77777777" w:rsidR="00A97131" w:rsidRDefault="00000000">
      <w:pPr>
        <w:pStyle w:val="a9"/>
      </w:pPr>
      <w:r>
        <w:t>对于</w:t>
      </w:r>
      <w:r>
        <w:rPr>
          <w:b/>
          <w:bCs/>
        </w:rPr>
        <w:t>公募基金管理人</w:t>
      </w:r>
      <w:r>
        <w:t>，建议继续坚持以基本面因子为核心的投资理念，同时适度增加</w:t>
      </w:r>
      <w:r>
        <w:t>AI</w:t>
      </w:r>
      <w:r>
        <w:t>技术的应用。重点关注</w:t>
      </w:r>
      <w:r>
        <w:t>AI</w:t>
      </w:r>
      <w:r>
        <w:t>在因子挖掘效率提升和风险预测能力增强方面的价值，通过技术升级来</w:t>
      </w:r>
      <w:r>
        <w:lastRenderedPageBreak/>
        <w:t>应对日益激烈的市场竞争。在因子配置上，建议采用</w:t>
      </w:r>
      <w:r>
        <w:t>"</w:t>
      </w:r>
      <w:r>
        <w:t>基本面因子（</w:t>
      </w:r>
      <w:r>
        <w:t>60%</w:t>
      </w:r>
      <w:r>
        <w:t>）</w:t>
      </w:r>
      <w:r>
        <w:t>+</w:t>
      </w:r>
      <w:r>
        <w:t>量价因子（</w:t>
      </w:r>
      <w:r>
        <w:t>25%</w:t>
      </w:r>
      <w:r>
        <w:t>）</w:t>
      </w:r>
      <w:r>
        <w:t>+AI</w:t>
      </w:r>
      <w:r>
        <w:t>因子（</w:t>
      </w:r>
      <w:r>
        <w:t>15%</w:t>
      </w:r>
      <w:r>
        <w:t>）</w:t>
      </w:r>
      <w:r>
        <w:t>"</w:t>
      </w:r>
      <w:r>
        <w:t>的结构，既保持策略的稳健性，又提升收益的弹性。</w:t>
      </w:r>
    </w:p>
    <w:p w14:paraId="38D3AA89" w14:textId="77777777" w:rsidR="00A97131" w:rsidRDefault="00000000">
      <w:pPr>
        <w:pStyle w:val="a9"/>
      </w:pPr>
      <w:r>
        <w:t>对于</w:t>
      </w:r>
      <w:r>
        <w:rPr>
          <w:b/>
          <w:bCs/>
        </w:rPr>
        <w:t>私募基金管理人</w:t>
      </w:r>
      <w:r>
        <w:t>，建议在保持量价因子优势的同时，加强对基本面因子和另类数据因子的开发。特别是在当前监管环境下，适度降低对高频交易的依赖，向中低频策略转型。建议采用</w:t>
      </w:r>
      <w:r>
        <w:t>"</w:t>
      </w:r>
      <w:r>
        <w:t>量价因子（</w:t>
      </w:r>
      <w:r>
        <w:t>50%</w:t>
      </w:r>
      <w:r>
        <w:t>）</w:t>
      </w:r>
      <w:r>
        <w:t>+</w:t>
      </w:r>
      <w:r>
        <w:t>基本面因子（</w:t>
      </w:r>
      <w:r>
        <w:t>30%</w:t>
      </w:r>
      <w:r>
        <w:t>）</w:t>
      </w:r>
      <w:r>
        <w:t>+</w:t>
      </w:r>
      <w:r>
        <w:t>另类数据因子（</w:t>
      </w:r>
      <w:r>
        <w:t>20%</w:t>
      </w:r>
      <w:r>
        <w:t>）</w:t>
      </w:r>
      <w:r>
        <w:t>"</w:t>
      </w:r>
      <w:r>
        <w:t>的配置结构，并重点发展</w:t>
      </w:r>
      <w:r>
        <w:t>AI</w:t>
      </w:r>
      <w:r>
        <w:t>驱动的动态因子配置能力。</w:t>
      </w:r>
    </w:p>
    <w:p w14:paraId="2B420DF5" w14:textId="77777777" w:rsidR="00A97131" w:rsidRDefault="00000000">
      <w:pPr>
        <w:pStyle w:val="a9"/>
      </w:pPr>
      <w:r>
        <w:t>对于</w:t>
      </w:r>
      <w:r>
        <w:rPr>
          <w:b/>
          <w:bCs/>
        </w:rPr>
        <w:t>个人投资者</w:t>
      </w:r>
      <w:r>
        <w:t>，面对日益智能化的量化投资环境，建议采取以下策略：一是充分认识到与机构投资者的技术差距，避免在高频交易领域与机构竞争；二是选择合适的量化基金产品，特别是那些因子透明、风险可控的产品；三是关注量化基金的因子配置变化，及时调整投资策略；四是加强自身的金融知识学习，提升对量化投资的理解和判断能力。</w:t>
      </w:r>
    </w:p>
    <w:p w14:paraId="201E2EB9" w14:textId="77777777" w:rsidR="00A97131" w:rsidRDefault="00000000">
      <w:pPr>
        <w:pStyle w:val="a9"/>
      </w:pPr>
      <w:r>
        <w:t>对于</w:t>
      </w:r>
      <w:r>
        <w:rPr>
          <w:b/>
          <w:bCs/>
        </w:rPr>
        <w:t>监管机构</w:t>
      </w:r>
      <w:r>
        <w:t>，建议在促进技术创新和防范风险之间找到平衡。一方面，应该鼓励量化投资技术的创新发展，特别是在提升市场效率和价格发现功能方面的应用；另一方面，要加强对高频交易和算法交易的监管，防范系统性风险。建议建立健全的风险监测和预警机制，确保市场的公平、有序运行。</w:t>
      </w:r>
    </w:p>
    <w:p w14:paraId="40F323F5" w14:textId="77777777" w:rsidR="00A97131" w:rsidRDefault="00000000">
      <w:pPr>
        <w:pStyle w:val="a9"/>
      </w:pPr>
      <w:r>
        <w:t>总的来说，</w:t>
      </w:r>
      <w:r>
        <w:t>A</w:t>
      </w:r>
      <w:r>
        <w:t>股量化投资正处于技术变革的关键时期，机构因子体系的分化和技术的快速演进将深刻影响市场格局。只有那些能够准确把握技术趋势、合理配置因子资源、有效管理风险的机构，才能在未来的竞争中占据优势地位。对于整个市场而言，这种变革将带来更高的效率、更好的价格发现机制，但同时也需要各方共同努力，确保市场的健康、稳定发展。</w:t>
      </w:r>
    </w:p>
    <w:p w14:paraId="4AB7430C" w14:textId="77777777" w:rsidR="00A97131" w:rsidRDefault="00000000">
      <w:pPr>
        <w:pStyle w:val="a9"/>
      </w:pPr>
      <w:r>
        <w:t>(</w:t>
      </w:r>
      <w:r>
        <w:t>豆包</w:t>
      </w:r>
      <w:r>
        <w:t>AI</w:t>
      </w:r>
      <w:r>
        <w:t>生成</w:t>
      </w:r>
      <w:r>
        <w:t>)</w:t>
      </w:r>
    </w:p>
    <w:sectPr w:rsidR="00A971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718AB"/>
    <w:multiLevelType w:val="hybridMultilevel"/>
    <w:tmpl w:val="087CE332"/>
    <w:lvl w:ilvl="0" w:tplc="B5EA8496">
      <w:start w:val="1"/>
      <w:numFmt w:val="decimal"/>
      <w:lvlText w:val="☑"/>
      <w:lvlJc w:val="left"/>
      <w:pPr>
        <w:ind w:left="288" w:hanging="288"/>
      </w:pPr>
    </w:lvl>
    <w:lvl w:ilvl="1" w:tplc="009A8452">
      <w:start w:val="1"/>
      <w:numFmt w:val="decimal"/>
      <w:lvlText w:val="☑"/>
      <w:lvlJc w:val="left"/>
      <w:pPr>
        <w:ind w:left="720" w:hanging="288"/>
      </w:pPr>
    </w:lvl>
    <w:lvl w:ilvl="2" w:tplc="DDC2F3F0">
      <w:start w:val="1"/>
      <w:numFmt w:val="decimal"/>
      <w:lvlText w:val="☑"/>
      <w:lvlJc w:val="left"/>
      <w:pPr>
        <w:ind w:left="1152" w:hanging="288"/>
      </w:pPr>
    </w:lvl>
    <w:lvl w:ilvl="3" w:tplc="DD4C2D1E">
      <w:numFmt w:val="decimal"/>
      <w:lvlText w:val=""/>
      <w:lvlJc w:val="left"/>
    </w:lvl>
    <w:lvl w:ilvl="4" w:tplc="27CC2556">
      <w:numFmt w:val="decimal"/>
      <w:lvlText w:val=""/>
      <w:lvlJc w:val="left"/>
    </w:lvl>
    <w:lvl w:ilvl="5" w:tplc="C3C62908">
      <w:numFmt w:val="decimal"/>
      <w:lvlText w:val=""/>
      <w:lvlJc w:val="left"/>
    </w:lvl>
    <w:lvl w:ilvl="6" w:tplc="7856E47E">
      <w:numFmt w:val="decimal"/>
      <w:lvlText w:val=""/>
      <w:lvlJc w:val="left"/>
    </w:lvl>
    <w:lvl w:ilvl="7" w:tplc="3A18FE80">
      <w:numFmt w:val="decimal"/>
      <w:lvlText w:val=""/>
      <w:lvlJc w:val="left"/>
    </w:lvl>
    <w:lvl w:ilvl="8" w:tplc="F9A48D96">
      <w:numFmt w:val="decimal"/>
      <w:lvlText w:val=""/>
      <w:lvlJc w:val="left"/>
    </w:lvl>
  </w:abstractNum>
  <w:abstractNum w:abstractNumId="1" w15:restartNumberingAfterBreak="0">
    <w:nsid w:val="5D223950"/>
    <w:multiLevelType w:val="hybridMultilevel"/>
    <w:tmpl w:val="000885FC"/>
    <w:lvl w:ilvl="0" w:tplc="7BD2AD2C">
      <w:start w:val="1"/>
      <w:numFmt w:val="decimal"/>
      <w:lvlText w:val="%1."/>
      <w:lvlJc w:val="left"/>
      <w:pPr>
        <w:ind w:left="288" w:hanging="288"/>
      </w:pPr>
      <w:rPr>
        <w:color w:val="3370FF"/>
        <w:sz w:val="22"/>
        <w:szCs w:val="22"/>
      </w:rPr>
    </w:lvl>
    <w:lvl w:ilvl="1" w:tplc="0D549E72">
      <w:start w:val="1"/>
      <w:numFmt w:val="lowerLetter"/>
      <w:lvlText w:val="%2."/>
      <w:lvlJc w:val="left"/>
      <w:pPr>
        <w:ind w:left="720" w:hanging="288"/>
      </w:pPr>
      <w:rPr>
        <w:color w:val="3370FF"/>
        <w:sz w:val="22"/>
        <w:szCs w:val="22"/>
      </w:rPr>
    </w:lvl>
    <w:lvl w:ilvl="2" w:tplc="FAAAEBA8">
      <w:start w:val="1"/>
      <w:numFmt w:val="lowerRoman"/>
      <w:lvlText w:val="%3."/>
      <w:lvlJc w:val="left"/>
      <w:pPr>
        <w:ind w:left="1152" w:hanging="288"/>
      </w:pPr>
      <w:rPr>
        <w:color w:val="3370FF"/>
        <w:sz w:val="22"/>
        <w:szCs w:val="22"/>
      </w:rPr>
    </w:lvl>
    <w:lvl w:ilvl="3" w:tplc="3456494E">
      <w:numFmt w:val="decimal"/>
      <w:lvlText w:val=""/>
      <w:lvlJc w:val="left"/>
    </w:lvl>
    <w:lvl w:ilvl="4" w:tplc="A92C9C4E">
      <w:numFmt w:val="decimal"/>
      <w:lvlText w:val=""/>
      <w:lvlJc w:val="left"/>
    </w:lvl>
    <w:lvl w:ilvl="5" w:tplc="E36EB5E6">
      <w:numFmt w:val="decimal"/>
      <w:lvlText w:val=""/>
      <w:lvlJc w:val="left"/>
    </w:lvl>
    <w:lvl w:ilvl="6" w:tplc="DC10DEEE">
      <w:numFmt w:val="decimal"/>
      <w:lvlText w:val=""/>
      <w:lvlJc w:val="left"/>
    </w:lvl>
    <w:lvl w:ilvl="7" w:tplc="11F2F134">
      <w:numFmt w:val="decimal"/>
      <w:lvlText w:val=""/>
      <w:lvlJc w:val="left"/>
    </w:lvl>
    <w:lvl w:ilvl="8" w:tplc="D7C64232">
      <w:numFmt w:val="decimal"/>
      <w:lvlText w:val=""/>
      <w:lvlJc w:val="left"/>
    </w:lvl>
  </w:abstractNum>
  <w:abstractNum w:abstractNumId="2" w15:restartNumberingAfterBreak="0">
    <w:nsid w:val="61972C17"/>
    <w:multiLevelType w:val="hybridMultilevel"/>
    <w:tmpl w:val="66765D90"/>
    <w:lvl w:ilvl="0" w:tplc="B87876F2">
      <w:start w:val="1"/>
      <w:numFmt w:val="decimal"/>
      <w:lvlText w:val="☐"/>
      <w:lvlJc w:val="left"/>
      <w:pPr>
        <w:ind w:left="288" w:hanging="288"/>
      </w:pPr>
    </w:lvl>
    <w:lvl w:ilvl="1" w:tplc="A572AA06">
      <w:start w:val="1"/>
      <w:numFmt w:val="decimal"/>
      <w:lvlText w:val="☐"/>
      <w:lvlJc w:val="left"/>
      <w:pPr>
        <w:ind w:left="720" w:hanging="288"/>
      </w:pPr>
    </w:lvl>
    <w:lvl w:ilvl="2" w:tplc="1C682326">
      <w:start w:val="1"/>
      <w:numFmt w:val="decimal"/>
      <w:lvlText w:val="☐"/>
      <w:lvlJc w:val="left"/>
      <w:pPr>
        <w:ind w:left="1152" w:hanging="288"/>
      </w:pPr>
    </w:lvl>
    <w:lvl w:ilvl="3" w:tplc="B3FC49A6">
      <w:numFmt w:val="decimal"/>
      <w:lvlText w:val=""/>
      <w:lvlJc w:val="left"/>
    </w:lvl>
    <w:lvl w:ilvl="4" w:tplc="D3CE43A2">
      <w:numFmt w:val="decimal"/>
      <w:lvlText w:val=""/>
      <w:lvlJc w:val="left"/>
    </w:lvl>
    <w:lvl w:ilvl="5" w:tplc="152C7F0C">
      <w:numFmt w:val="decimal"/>
      <w:lvlText w:val=""/>
      <w:lvlJc w:val="left"/>
    </w:lvl>
    <w:lvl w:ilvl="6" w:tplc="56EE64E0">
      <w:numFmt w:val="decimal"/>
      <w:lvlText w:val=""/>
      <w:lvlJc w:val="left"/>
    </w:lvl>
    <w:lvl w:ilvl="7" w:tplc="57386A12">
      <w:numFmt w:val="decimal"/>
      <w:lvlText w:val=""/>
      <w:lvlJc w:val="left"/>
    </w:lvl>
    <w:lvl w:ilvl="8" w:tplc="C9FA14CA">
      <w:numFmt w:val="decimal"/>
      <w:lvlText w:val=""/>
      <w:lvlJc w:val="left"/>
    </w:lvl>
  </w:abstractNum>
  <w:abstractNum w:abstractNumId="3" w15:restartNumberingAfterBreak="0">
    <w:nsid w:val="7BF81B1C"/>
    <w:multiLevelType w:val="hybridMultilevel"/>
    <w:tmpl w:val="514E8368"/>
    <w:lvl w:ilvl="0" w:tplc="A9328FC6">
      <w:start w:val="1"/>
      <w:numFmt w:val="bullet"/>
      <w:lvlText w:val="•"/>
      <w:lvlJc w:val="left"/>
      <w:pPr>
        <w:ind w:left="288" w:hanging="288"/>
      </w:pPr>
      <w:rPr>
        <w:color w:val="3370FF"/>
        <w:sz w:val="22"/>
        <w:szCs w:val="22"/>
      </w:rPr>
    </w:lvl>
    <w:lvl w:ilvl="1" w:tplc="34169DD4">
      <w:start w:val="1"/>
      <w:numFmt w:val="bullet"/>
      <w:lvlText w:val="◦"/>
      <w:lvlJc w:val="left"/>
      <w:pPr>
        <w:ind w:left="720" w:hanging="288"/>
      </w:pPr>
      <w:rPr>
        <w:color w:val="3370FF"/>
        <w:sz w:val="22"/>
        <w:szCs w:val="22"/>
      </w:rPr>
    </w:lvl>
    <w:lvl w:ilvl="2" w:tplc="5E2E8A8C">
      <w:start w:val="1"/>
      <w:numFmt w:val="bullet"/>
      <w:lvlText w:val="▪"/>
      <w:lvlJc w:val="left"/>
      <w:pPr>
        <w:ind w:left="1152" w:hanging="288"/>
      </w:pPr>
      <w:rPr>
        <w:color w:val="3370FF"/>
        <w:sz w:val="22"/>
        <w:szCs w:val="22"/>
      </w:rPr>
    </w:lvl>
    <w:lvl w:ilvl="3" w:tplc="C0AAE8C6">
      <w:numFmt w:val="decimal"/>
      <w:lvlText w:val=""/>
      <w:lvlJc w:val="left"/>
    </w:lvl>
    <w:lvl w:ilvl="4" w:tplc="742E7F46">
      <w:numFmt w:val="decimal"/>
      <w:lvlText w:val=""/>
      <w:lvlJc w:val="left"/>
    </w:lvl>
    <w:lvl w:ilvl="5" w:tplc="22987AF2">
      <w:numFmt w:val="decimal"/>
      <w:lvlText w:val=""/>
      <w:lvlJc w:val="left"/>
    </w:lvl>
    <w:lvl w:ilvl="6" w:tplc="10C01AB6">
      <w:numFmt w:val="decimal"/>
      <w:lvlText w:val=""/>
      <w:lvlJc w:val="left"/>
    </w:lvl>
    <w:lvl w:ilvl="7" w:tplc="20A0F90C">
      <w:numFmt w:val="decimal"/>
      <w:lvlText w:val=""/>
      <w:lvlJc w:val="left"/>
    </w:lvl>
    <w:lvl w:ilvl="8" w:tplc="E684154E">
      <w:numFmt w:val="decimal"/>
      <w:lvlText w:val=""/>
      <w:lvlJc w:val="left"/>
    </w:lvl>
  </w:abstractNum>
  <w:abstractNum w:abstractNumId="4" w15:restartNumberingAfterBreak="0">
    <w:nsid w:val="7C412313"/>
    <w:multiLevelType w:val="hybridMultilevel"/>
    <w:tmpl w:val="D3AC1CD8"/>
    <w:lvl w:ilvl="0" w:tplc="0DC47AA4">
      <w:start w:val="1"/>
      <w:numFmt w:val="bullet"/>
      <w:lvlText w:val="●"/>
      <w:lvlJc w:val="left"/>
      <w:pPr>
        <w:ind w:left="720" w:hanging="360"/>
      </w:pPr>
    </w:lvl>
    <w:lvl w:ilvl="1" w:tplc="6CAA56B0">
      <w:start w:val="1"/>
      <w:numFmt w:val="bullet"/>
      <w:lvlText w:val="○"/>
      <w:lvlJc w:val="left"/>
      <w:pPr>
        <w:ind w:left="1440" w:hanging="360"/>
      </w:pPr>
    </w:lvl>
    <w:lvl w:ilvl="2" w:tplc="372CEF46">
      <w:start w:val="1"/>
      <w:numFmt w:val="bullet"/>
      <w:lvlText w:val="■"/>
      <w:lvlJc w:val="left"/>
      <w:pPr>
        <w:ind w:left="2160" w:hanging="360"/>
      </w:pPr>
    </w:lvl>
    <w:lvl w:ilvl="3" w:tplc="DADA6D80">
      <w:start w:val="1"/>
      <w:numFmt w:val="bullet"/>
      <w:lvlText w:val="●"/>
      <w:lvlJc w:val="left"/>
      <w:pPr>
        <w:ind w:left="2880" w:hanging="360"/>
      </w:pPr>
    </w:lvl>
    <w:lvl w:ilvl="4" w:tplc="57166A70">
      <w:start w:val="1"/>
      <w:numFmt w:val="bullet"/>
      <w:lvlText w:val="○"/>
      <w:lvlJc w:val="left"/>
      <w:pPr>
        <w:ind w:left="3600" w:hanging="360"/>
      </w:pPr>
    </w:lvl>
    <w:lvl w:ilvl="5" w:tplc="ACB65024">
      <w:start w:val="1"/>
      <w:numFmt w:val="bullet"/>
      <w:lvlText w:val="■"/>
      <w:lvlJc w:val="left"/>
      <w:pPr>
        <w:ind w:left="4320" w:hanging="360"/>
      </w:pPr>
    </w:lvl>
    <w:lvl w:ilvl="6" w:tplc="FEBE425C">
      <w:start w:val="1"/>
      <w:numFmt w:val="bullet"/>
      <w:lvlText w:val="●"/>
      <w:lvlJc w:val="left"/>
      <w:pPr>
        <w:ind w:left="5040" w:hanging="360"/>
      </w:pPr>
    </w:lvl>
    <w:lvl w:ilvl="7" w:tplc="16A4D2A8">
      <w:start w:val="1"/>
      <w:numFmt w:val="bullet"/>
      <w:lvlText w:val="●"/>
      <w:lvlJc w:val="left"/>
      <w:pPr>
        <w:ind w:left="5760" w:hanging="360"/>
      </w:pPr>
    </w:lvl>
    <w:lvl w:ilvl="8" w:tplc="0016C32C">
      <w:start w:val="1"/>
      <w:numFmt w:val="bullet"/>
      <w:lvlText w:val="●"/>
      <w:lvlJc w:val="left"/>
      <w:pPr>
        <w:ind w:left="6480" w:hanging="360"/>
      </w:pPr>
    </w:lvl>
  </w:abstractNum>
  <w:num w:numId="1" w16cid:durableId="2661399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31"/>
    <w:rsid w:val="009750E7"/>
    <w:rsid w:val="00A97131"/>
    <w:rsid w:val="00E10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A566A"/>
  <w15:docId w15:val="{0FA26CB4-2643-4992-B7F3-538D836F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a9">
    <w:pPr>
      <w:spacing w:before="120" w:after="120" w:line="288" w:lineRule="auto"/>
    </w:pPr>
    <w:rPr>
      <w:rFonts w:ascii="Arial" w:eastAsia="等线" w:hAnsi="Arial" w:cs="Arial"/>
      <w:sz w:val="22"/>
      <w:szCs w:val="22"/>
    </w:rPr>
  </w:style>
  <w:style w:type="paragraph" w:customStyle="1" w:styleId="aa">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6053</Words>
  <Characters>6660</Characters>
  <Application>Microsoft Office Word</Application>
  <DocSecurity>0</DocSecurity>
  <Lines>185</Lines>
  <Paragraphs>96</Paragraphs>
  <ScaleCrop>false</ScaleCrop>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Zhang</cp:lastModifiedBy>
  <cp:revision>2</cp:revision>
  <dcterms:created xsi:type="dcterms:W3CDTF">2026-04-21T03:27:00Z</dcterms:created>
  <dcterms:modified xsi:type="dcterms:W3CDTF">2026-04-21T03:27:00Z</dcterms:modified>
</cp:coreProperties>
</file>