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F26EE" w14:textId="77777777" w:rsidR="00972F00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 xml:space="preserve">2026 </w:t>
      </w:r>
      <w:r>
        <w:rPr>
          <w:rFonts w:ascii="Arial" w:eastAsia="等线" w:hAnsi="Arial" w:cs="Arial"/>
          <w:b/>
          <w:sz w:val="52"/>
        </w:rPr>
        <w:t>年</w:t>
      </w:r>
      <w:r>
        <w:rPr>
          <w:rFonts w:ascii="Arial" w:eastAsia="等线" w:hAnsi="Arial" w:cs="Arial"/>
          <w:b/>
          <w:sz w:val="52"/>
        </w:rPr>
        <w:t xml:space="preserve"> A </w:t>
      </w:r>
      <w:r>
        <w:rPr>
          <w:rFonts w:ascii="Arial" w:eastAsia="等线" w:hAnsi="Arial" w:cs="Arial"/>
          <w:b/>
          <w:sz w:val="52"/>
        </w:rPr>
        <w:t>股主流量化因子全景（截至</w:t>
      </w:r>
      <w:r>
        <w:rPr>
          <w:rFonts w:ascii="Arial" w:eastAsia="等线" w:hAnsi="Arial" w:cs="Arial"/>
          <w:b/>
          <w:sz w:val="52"/>
        </w:rPr>
        <w:t xml:space="preserve"> 4 </w:t>
      </w:r>
      <w:r>
        <w:rPr>
          <w:rFonts w:ascii="Arial" w:eastAsia="等线" w:hAnsi="Arial" w:cs="Arial"/>
          <w:b/>
          <w:sz w:val="52"/>
        </w:rPr>
        <w:t>月）</w:t>
      </w:r>
    </w:p>
    <w:p w14:paraId="07D568B5" w14:textId="77777777" w:rsidR="00972F0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为了解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股</w:t>
      </w:r>
      <w:r>
        <w:rPr>
          <w:rFonts w:ascii="Arial" w:eastAsia="等线" w:hAnsi="Arial" w:cs="Arial"/>
        </w:rPr>
        <w:t xml:space="preserve"> 2025 - 2026 </w:t>
      </w:r>
      <w:r>
        <w:rPr>
          <w:rFonts w:ascii="Arial" w:eastAsia="等线" w:hAnsi="Arial" w:cs="Arial"/>
        </w:rPr>
        <w:t>年流行的量化因子，我计划搜索</w:t>
      </w:r>
      <w:r>
        <w:rPr>
          <w:rFonts w:ascii="Arial" w:eastAsia="等线" w:hAnsi="Arial" w:cs="Arial"/>
        </w:rPr>
        <w:t xml:space="preserve"> “2026 A </w:t>
      </w:r>
      <w:r>
        <w:rPr>
          <w:rFonts w:ascii="Arial" w:eastAsia="等线" w:hAnsi="Arial" w:cs="Arial"/>
        </w:rPr>
        <w:t>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量化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流行因子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等关键词，以明确当下表现良好、新出现及传统因子的变化情况。</w:t>
      </w:r>
    </w:p>
    <w:p w14:paraId="211E9EFA" w14:textId="77777777" w:rsidR="00972F0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为获取</w:t>
      </w:r>
      <w:r>
        <w:rPr>
          <w:rFonts w:ascii="Arial" w:eastAsia="等线" w:hAnsi="Arial" w:cs="Arial"/>
        </w:rPr>
        <w:t xml:space="preserve"> 2026 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股量化因子更详细信息，我计划搜索</w:t>
      </w:r>
      <w:r>
        <w:rPr>
          <w:rFonts w:ascii="Arial" w:eastAsia="等线" w:hAnsi="Arial" w:cs="Arial"/>
        </w:rPr>
        <w:t xml:space="preserve"> “2026 A </w:t>
      </w:r>
      <w:r>
        <w:rPr>
          <w:rFonts w:ascii="Arial" w:eastAsia="等线" w:hAnsi="Arial" w:cs="Arial"/>
        </w:rPr>
        <w:t>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量化因子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具体名称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等关键词，以找到券商研报中专业内容，了解最新、具体因子名称及表现，以及另类数据因子和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因子情况。</w:t>
      </w:r>
    </w:p>
    <w:p w14:paraId="2EC5B1A4" w14:textId="77777777" w:rsidR="00972F00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 xml:space="preserve">2026 </w:t>
      </w:r>
      <w:r>
        <w:rPr>
          <w:rFonts w:ascii="Arial" w:eastAsia="等线" w:hAnsi="Arial" w:cs="Arial"/>
          <w:b/>
          <w:sz w:val="36"/>
        </w:rPr>
        <w:t>年</w:t>
      </w:r>
      <w:r>
        <w:rPr>
          <w:rFonts w:ascii="Arial" w:eastAsia="等线" w:hAnsi="Arial" w:cs="Arial"/>
          <w:b/>
          <w:sz w:val="36"/>
        </w:rPr>
        <w:t xml:space="preserve"> A </w:t>
      </w:r>
      <w:r>
        <w:rPr>
          <w:rFonts w:ascii="Arial" w:eastAsia="等线" w:hAnsi="Arial" w:cs="Arial"/>
          <w:b/>
          <w:sz w:val="36"/>
        </w:rPr>
        <w:t>股主流量化因子全景（截至</w:t>
      </w:r>
      <w:r>
        <w:rPr>
          <w:rFonts w:ascii="Arial" w:eastAsia="等线" w:hAnsi="Arial" w:cs="Arial"/>
          <w:b/>
          <w:sz w:val="36"/>
        </w:rPr>
        <w:t xml:space="preserve"> 4 </w:t>
      </w:r>
      <w:r>
        <w:rPr>
          <w:rFonts w:ascii="Arial" w:eastAsia="等线" w:hAnsi="Arial" w:cs="Arial"/>
          <w:b/>
          <w:sz w:val="36"/>
        </w:rPr>
        <w:t>月）</w:t>
      </w:r>
      <w:bookmarkEnd w:id="0"/>
    </w:p>
    <w:p w14:paraId="713CABBB" w14:textId="77777777" w:rsidR="00972F0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截至</w:t>
      </w:r>
      <w:r>
        <w:rPr>
          <w:rFonts w:ascii="Arial" w:eastAsia="等线" w:hAnsi="Arial" w:cs="Arial"/>
        </w:rPr>
        <w:t xml:space="preserve"> 2026 </w:t>
      </w:r>
      <w:r>
        <w:rPr>
          <w:rFonts w:ascii="Arial" w:eastAsia="等线" w:hAnsi="Arial" w:cs="Arial"/>
        </w:rPr>
        <w:t>年一季度末，</w:t>
      </w:r>
      <w:r>
        <w:rPr>
          <w:rFonts w:ascii="Arial" w:eastAsia="等线" w:hAnsi="Arial" w:cs="Arial"/>
        </w:rPr>
        <w:t xml:space="preserve">A </w:t>
      </w:r>
      <w:r>
        <w:rPr>
          <w:rFonts w:ascii="Arial" w:eastAsia="等线" w:hAnsi="Arial" w:cs="Arial"/>
        </w:rPr>
        <w:t>股量化资金规模突破</w:t>
      </w:r>
      <w:r>
        <w:rPr>
          <w:rFonts w:ascii="Arial" w:eastAsia="等线" w:hAnsi="Arial" w:cs="Arial"/>
        </w:rPr>
        <w:t xml:space="preserve"> 2.5 </w:t>
      </w:r>
      <w:r>
        <w:rPr>
          <w:rFonts w:ascii="Arial" w:eastAsia="等线" w:hAnsi="Arial" w:cs="Arial"/>
        </w:rPr>
        <w:t>万亿元，日均成交占比稳定在</w:t>
      </w:r>
      <w:r>
        <w:rPr>
          <w:rFonts w:ascii="Arial" w:eastAsia="等线" w:hAnsi="Arial" w:cs="Arial"/>
        </w:rPr>
        <w:t xml:space="preserve"> 30%-40%</w:t>
      </w:r>
      <w:r>
        <w:rPr>
          <w:rFonts w:ascii="Arial" w:eastAsia="等线" w:hAnsi="Arial" w:cs="Arial"/>
        </w:rPr>
        <w:t>。因子格局呈现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  <w:b/>
        </w:rPr>
        <w:t>传统因子精细化</w:t>
      </w:r>
      <w:r>
        <w:rPr>
          <w:rFonts w:ascii="Arial" w:eastAsia="等线" w:hAnsi="Arial" w:cs="Arial"/>
          <w:b/>
        </w:rPr>
        <w:t xml:space="preserve"> + AI </w:t>
      </w:r>
      <w:r>
        <w:rPr>
          <w:rFonts w:ascii="Arial" w:eastAsia="等线" w:hAnsi="Arial" w:cs="Arial"/>
          <w:b/>
        </w:rPr>
        <w:t>因子爆发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另类数据深化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的特征，且不同市值区间因子表现差异显著。</w:t>
      </w:r>
    </w:p>
    <w:p w14:paraId="3F9505E4" w14:textId="77777777" w:rsidR="00972F00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一、传统基本面因子（大中盘核心）</w:t>
      </w:r>
      <w:bookmarkEnd w:id="1"/>
    </w:p>
    <w:p w14:paraId="530FD777" w14:textId="77777777" w:rsidR="00972F0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在沪深</w:t>
      </w:r>
      <w:r>
        <w:rPr>
          <w:rFonts w:ascii="Arial" w:eastAsia="等线" w:hAnsi="Arial" w:cs="Arial"/>
        </w:rPr>
        <w:t xml:space="preserve"> 300</w:t>
      </w:r>
      <w:r>
        <w:rPr>
          <w:rFonts w:ascii="Arial" w:eastAsia="等线" w:hAnsi="Arial" w:cs="Arial"/>
        </w:rPr>
        <w:t>、中证</w:t>
      </w:r>
      <w:r>
        <w:rPr>
          <w:rFonts w:ascii="Arial" w:eastAsia="等线" w:hAnsi="Arial" w:cs="Arial"/>
        </w:rPr>
        <w:t xml:space="preserve"> 500 </w:t>
      </w:r>
      <w:r>
        <w:rPr>
          <w:rFonts w:ascii="Arial" w:eastAsia="等线" w:hAnsi="Arial" w:cs="Arial"/>
        </w:rPr>
        <w:t>等大中盘指数中，基本面因子仍是超额收益的主要来源，且呈现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  <w:b/>
        </w:rPr>
        <w:t>从单一指标向复合指标升级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的趋势：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972F00" w14:paraId="012DBD2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9CFB1" w14:textId="77777777" w:rsidR="00972F0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因子类别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17C83" w14:textId="77777777" w:rsidR="00972F0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2026 </w:t>
            </w:r>
            <w:r>
              <w:rPr>
                <w:rFonts w:ascii="Arial" w:eastAsia="等线" w:hAnsi="Arial" w:cs="Arial"/>
              </w:rPr>
              <w:t>年流行的具体指标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284CE" w14:textId="77777777" w:rsidR="00972F0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表现特点</w:t>
            </w:r>
          </w:p>
        </w:tc>
      </w:tr>
      <w:tr w:rsidR="00972F00" w14:paraId="4F28C46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E9E11" w14:textId="77777777" w:rsidR="00972F0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分析师预期因子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2D9A6" w14:textId="77777777" w:rsidR="00972F0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分析师预测净利润增长率</w:t>
            </w:r>
            <w:r>
              <w:rPr>
                <w:rFonts w:ascii="Arial" w:eastAsia="等线" w:hAnsi="Arial" w:cs="Arial"/>
              </w:rPr>
              <w:t xml:space="preserve"> FY3</w:t>
            </w:r>
            <w:r>
              <w:rPr>
                <w:rFonts w:ascii="Arial" w:eastAsia="等线" w:hAnsi="Arial" w:cs="Arial"/>
              </w:rPr>
              <w:t>、标准化预期外单季度归母</w:t>
            </w:r>
            <w:r>
              <w:rPr>
                <w:rFonts w:ascii="Arial" w:eastAsia="等线" w:hAnsi="Arial" w:cs="Arial"/>
              </w:rPr>
              <w:t xml:space="preserve"> ROE</w:t>
            </w:r>
            <w:r>
              <w:rPr>
                <w:rFonts w:ascii="Arial" w:eastAsia="等线" w:hAnsi="Arial" w:cs="Arial"/>
              </w:rPr>
              <w:t>、一致预期上调幅度与频率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4BB0D" w14:textId="77777777" w:rsidR="00972F0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2025-2026 </w:t>
            </w:r>
            <w:r>
              <w:rPr>
                <w:rFonts w:ascii="Arial" w:eastAsia="等线" w:hAnsi="Arial" w:cs="Arial"/>
              </w:rPr>
              <w:t>年表现最强的基本面因子，在成长股中尤为有效</w:t>
            </w:r>
          </w:p>
        </w:tc>
      </w:tr>
      <w:tr w:rsidR="00972F00" w14:paraId="6C2FA4C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385B9" w14:textId="77777777" w:rsidR="00972F0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盈利质量因子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DF009" w14:textId="77777777" w:rsidR="00972F0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现金毛利</w:t>
            </w:r>
            <w:r>
              <w:rPr>
                <w:rFonts w:ascii="Arial" w:eastAsia="等线" w:hAnsi="Arial" w:cs="Arial"/>
              </w:rPr>
              <w:t xml:space="preserve"> CGP_TTM</w:t>
            </w:r>
            <w:r>
              <w:rPr>
                <w:rFonts w:ascii="Arial" w:eastAsia="等线" w:hAnsi="Arial" w:cs="Arial"/>
              </w:rPr>
              <w:t>、留存收益</w:t>
            </w:r>
            <w:r>
              <w:rPr>
                <w:rFonts w:ascii="Arial" w:eastAsia="等线" w:hAnsi="Arial" w:cs="Arial"/>
              </w:rPr>
              <w:t xml:space="preserve"> REP_LF</w:t>
            </w:r>
            <w:r>
              <w:rPr>
                <w:rFonts w:ascii="Arial" w:eastAsia="等线" w:hAnsi="Arial" w:cs="Arial"/>
              </w:rPr>
              <w:t>、应收账款周转率</w:t>
            </w:r>
            <w:r>
              <w:rPr>
                <w:rFonts w:ascii="Arial" w:eastAsia="等线" w:hAnsi="Arial" w:cs="Arial"/>
              </w:rPr>
              <w:t xml:space="preserve"> ART_QR</w:t>
            </w:r>
            <w:r>
              <w:rPr>
                <w:rFonts w:ascii="Arial" w:eastAsia="等线" w:hAnsi="Arial" w:cs="Arial"/>
              </w:rPr>
              <w:t>、自由现金流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净利润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E5D58" w14:textId="77777777" w:rsidR="00972F0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替代传统</w:t>
            </w:r>
            <w:r>
              <w:rPr>
                <w:rFonts w:ascii="Arial" w:eastAsia="等线" w:hAnsi="Arial" w:cs="Arial"/>
              </w:rPr>
              <w:t xml:space="preserve"> ROE</w:t>
            </w:r>
            <w:r>
              <w:rPr>
                <w:rFonts w:ascii="Arial" w:eastAsia="等线" w:hAnsi="Arial" w:cs="Arial"/>
              </w:rPr>
              <w:t>，有效剔除财务造假风险</w:t>
            </w:r>
          </w:p>
        </w:tc>
      </w:tr>
      <w:tr w:rsidR="00972F00" w14:paraId="74CF061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23046" w14:textId="77777777" w:rsidR="00972F0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价值因子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2EB88" w14:textId="77777777" w:rsidR="00972F0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修正</w:t>
            </w:r>
            <w:r>
              <w:rPr>
                <w:rFonts w:ascii="Arial" w:eastAsia="等线" w:hAnsi="Arial" w:cs="Arial"/>
              </w:rPr>
              <w:t xml:space="preserve"> PE</w:t>
            </w:r>
            <w:r>
              <w:rPr>
                <w:rFonts w:ascii="Arial" w:eastAsia="等线" w:hAnsi="Arial" w:cs="Arial"/>
              </w:rPr>
              <w:t>（剔除商誉）、</w:t>
            </w:r>
            <w:r>
              <w:rPr>
                <w:rFonts w:ascii="Arial" w:eastAsia="等线" w:hAnsi="Arial" w:cs="Arial"/>
              </w:rPr>
              <w:t>EV/EBITDA</w:t>
            </w:r>
            <w:r>
              <w:rPr>
                <w:rFonts w:ascii="Arial" w:eastAsia="等线" w:hAnsi="Arial" w:cs="Arial"/>
              </w:rPr>
              <w:t>、股息率（连</w:t>
            </w:r>
            <w:r>
              <w:rPr>
                <w:rFonts w:ascii="Arial" w:eastAsia="等线" w:hAnsi="Arial" w:cs="Arial"/>
              </w:rPr>
              <w:lastRenderedPageBreak/>
              <w:t>续</w:t>
            </w:r>
            <w:r>
              <w:rPr>
                <w:rFonts w:ascii="Arial" w:eastAsia="等线" w:hAnsi="Arial" w:cs="Arial"/>
              </w:rPr>
              <w:t xml:space="preserve"> 3 </w:t>
            </w:r>
            <w:r>
              <w:rPr>
                <w:rFonts w:ascii="Arial" w:eastAsia="等线" w:hAnsi="Arial" w:cs="Arial"/>
              </w:rPr>
              <w:t>年分红）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2B538" w14:textId="77777777" w:rsidR="00972F0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 xml:space="preserve">2026 </w:t>
            </w:r>
            <w:r>
              <w:rPr>
                <w:rFonts w:ascii="Arial" w:eastAsia="等线" w:hAnsi="Arial" w:cs="Arial"/>
              </w:rPr>
              <w:t>年</w:t>
            </w:r>
            <w:r>
              <w:rPr>
                <w:rFonts w:ascii="Arial" w:eastAsia="等线" w:hAnsi="Arial" w:cs="Arial"/>
              </w:rPr>
              <w:t xml:space="preserve"> 3 </w:t>
            </w:r>
            <w:r>
              <w:rPr>
                <w:rFonts w:ascii="Arial" w:eastAsia="等线" w:hAnsi="Arial" w:cs="Arial"/>
              </w:rPr>
              <w:t>月以来防御性凸显，与低波因子搭配效</w:t>
            </w:r>
            <w:r>
              <w:rPr>
                <w:rFonts w:ascii="Arial" w:eastAsia="等线" w:hAnsi="Arial" w:cs="Arial"/>
              </w:rPr>
              <w:lastRenderedPageBreak/>
              <w:t>果好</w:t>
            </w:r>
          </w:p>
        </w:tc>
      </w:tr>
      <w:tr w:rsidR="00972F00" w14:paraId="69B8C6C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8F3D9" w14:textId="77777777" w:rsidR="00972F0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成长因子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FA9DE" w14:textId="77777777" w:rsidR="00972F0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营收复合增长率（剔除并购）、研发投入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营收、产能利用率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481EB" w14:textId="77777777" w:rsidR="00972F0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需结合盈利兑现能力，单纯高成长因子已失效</w:t>
            </w:r>
          </w:p>
        </w:tc>
      </w:tr>
    </w:tbl>
    <w:p w14:paraId="70AF6350" w14:textId="77777777" w:rsidR="00972F00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二、量价与交易行为因子（中小盘主导）</w:t>
      </w:r>
      <w:bookmarkEnd w:id="2"/>
    </w:p>
    <w:p w14:paraId="1381E0C9" w14:textId="77777777" w:rsidR="00972F0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在中证</w:t>
      </w:r>
      <w:r>
        <w:rPr>
          <w:rFonts w:ascii="Arial" w:eastAsia="等线" w:hAnsi="Arial" w:cs="Arial"/>
        </w:rPr>
        <w:t xml:space="preserve"> 1000</w:t>
      </w:r>
      <w:r>
        <w:rPr>
          <w:rFonts w:ascii="Arial" w:eastAsia="等线" w:hAnsi="Arial" w:cs="Arial"/>
        </w:rPr>
        <w:t>、中证</w:t>
      </w:r>
      <w:r>
        <w:rPr>
          <w:rFonts w:ascii="Arial" w:eastAsia="等线" w:hAnsi="Arial" w:cs="Arial"/>
        </w:rPr>
        <w:t xml:space="preserve"> 2000 </w:t>
      </w:r>
      <w:r>
        <w:rPr>
          <w:rFonts w:ascii="Arial" w:eastAsia="等线" w:hAnsi="Arial" w:cs="Arial"/>
        </w:rPr>
        <w:t>及微盘股中，价量因子贡献了</w:t>
      </w:r>
      <w:r>
        <w:rPr>
          <w:rFonts w:ascii="Arial" w:eastAsia="等线" w:hAnsi="Arial" w:cs="Arial"/>
        </w:rPr>
        <w:t xml:space="preserve"> 70% </w:t>
      </w:r>
      <w:r>
        <w:rPr>
          <w:rFonts w:ascii="Arial" w:eastAsia="等线" w:hAnsi="Arial" w:cs="Arial"/>
        </w:rPr>
        <w:t>以上的超额收益，且</w:t>
      </w:r>
      <w:r>
        <w:rPr>
          <w:rFonts w:ascii="Arial" w:eastAsia="等线" w:hAnsi="Arial" w:cs="Arial"/>
          <w:b/>
        </w:rPr>
        <w:t>中低频量价因子正在取代高频因子</w:t>
      </w:r>
      <w:r>
        <w:rPr>
          <w:rFonts w:ascii="Arial" w:eastAsia="等线" w:hAnsi="Arial" w:cs="Arial"/>
        </w:rPr>
        <w:t>成为主流：</w:t>
      </w:r>
    </w:p>
    <w:p w14:paraId="78994812" w14:textId="77777777" w:rsidR="00972F00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经典量价因子（</w:t>
      </w:r>
      <w:r>
        <w:rPr>
          <w:rFonts w:ascii="Arial" w:eastAsia="等线" w:hAnsi="Arial" w:cs="Arial"/>
          <w:b/>
          <w:sz w:val="30"/>
        </w:rPr>
        <w:t xml:space="preserve">2026 </w:t>
      </w:r>
      <w:r>
        <w:rPr>
          <w:rFonts w:ascii="Arial" w:eastAsia="等线" w:hAnsi="Arial" w:cs="Arial"/>
          <w:b/>
          <w:sz w:val="30"/>
        </w:rPr>
        <w:t>年一季度表现领先）</w:t>
      </w:r>
      <w:bookmarkEnd w:id="3"/>
    </w:p>
    <w:p w14:paraId="2B6EDE90" w14:textId="77777777" w:rsidR="00972F00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换手率因子</w:t>
      </w:r>
      <w:r>
        <w:rPr>
          <w:rFonts w:ascii="Arial" w:eastAsia="等线" w:hAnsi="Arial" w:cs="Arial"/>
        </w:rPr>
        <w:t>：异常换手率、换手率波动率、量价背离度</w:t>
      </w:r>
    </w:p>
    <w:p w14:paraId="575D1640" w14:textId="77777777" w:rsidR="00972F00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波动率因子</w:t>
      </w:r>
      <w:r>
        <w:rPr>
          <w:rFonts w:ascii="Arial" w:eastAsia="等线" w:hAnsi="Arial" w:cs="Arial"/>
        </w:rPr>
        <w:t>：残差波动率、下行波动率占比、特质波动率</w:t>
      </w:r>
    </w:p>
    <w:p w14:paraId="292B6A38" w14:textId="77777777" w:rsidR="00972F00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反转因子</w:t>
      </w:r>
      <w:r>
        <w:rPr>
          <w:rFonts w:ascii="Arial" w:eastAsia="等线" w:hAnsi="Arial" w:cs="Arial"/>
        </w:rPr>
        <w:t>：理想反转因子（基于大单成交切割）、日内反转、周度反转</w:t>
      </w:r>
    </w:p>
    <w:p w14:paraId="0196BF70" w14:textId="77777777" w:rsidR="00972F00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流动性因子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Amihud </w:t>
      </w:r>
      <w:r>
        <w:rPr>
          <w:rFonts w:ascii="Arial" w:eastAsia="等线" w:hAnsi="Arial" w:cs="Arial"/>
        </w:rPr>
        <w:t>非流动性因子、买卖价差、大单成交占比</w:t>
      </w:r>
    </w:p>
    <w:p w14:paraId="0F3ADE0B" w14:textId="77777777" w:rsidR="00972F00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创新交易行为因子</w:t>
      </w:r>
      <w:bookmarkEnd w:id="4"/>
    </w:p>
    <w:p w14:paraId="606501DE" w14:textId="77777777" w:rsidR="00972F00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残差动量因子</w:t>
      </w:r>
      <w:r>
        <w:rPr>
          <w:rFonts w:ascii="Arial" w:eastAsia="等线" w:hAnsi="Arial" w:cs="Arial"/>
        </w:rPr>
        <w:t>：剥离市场和风格因子后的纯动量，改进版引入波动率反转效应，</w:t>
      </w:r>
      <w:r>
        <w:rPr>
          <w:rFonts w:ascii="Arial" w:eastAsia="等线" w:hAnsi="Arial" w:cs="Arial"/>
        </w:rPr>
        <w:t xml:space="preserve">2017-2026 </w:t>
      </w:r>
      <w:r>
        <w:rPr>
          <w:rFonts w:ascii="Arial" w:eastAsia="等线" w:hAnsi="Arial" w:cs="Arial"/>
        </w:rPr>
        <w:t>年年化超额</w:t>
      </w:r>
      <w:r>
        <w:rPr>
          <w:rFonts w:ascii="Arial" w:eastAsia="等线" w:hAnsi="Arial" w:cs="Arial"/>
        </w:rPr>
        <w:t xml:space="preserve"> 12.90%</w:t>
      </w:r>
    </w:p>
    <w:p w14:paraId="1E059DFF" w14:textId="77777777" w:rsidR="00972F00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聪明钱因子</w:t>
      </w:r>
      <w:r>
        <w:rPr>
          <w:rFonts w:ascii="Arial" w:eastAsia="等线" w:hAnsi="Arial" w:cs="Arial"/>
        </w:rPr>
        <w:t>：从分钟数据识别机构交易行为，区分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聪明钱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散户钱</w:t>
      </w:r>
      <w:r>
        <w:rPr>
          <w:rFonts w:ascii="Arial" w:eastAsia="等线" w:hAnsi="Arial" w:cs="Arial"/>
        </w:rPr>
        <w:t>"</w:t>
      </w:r>
    </w:p>
    <w:p w14:paraId="588AF07D" w14:textId="77777777" w:rsidR="00972F00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APM </w:t>
      </w:r>
      <w:r>
        <w:rPr>
          <w:rFonts w:ascii="Arial" w:eastAsia="等线" w:hAnsi="Arial" w:cs="Arial"/>
          <w:b/>
        </w:rPr>
        <w:t>因子</w:t>
      </w:r>
      <w:r>
        <w:rPr>
          <w:rFonts w:ascii="Arial" w:eastAsia="等线" w:hAnsi="Arial" w:cs="Arial"/>
        </w:rPr>
        <w:t>：利用日内不同时段交易者行为差异，早盘与尾盘反转强度不同</w:t>
      </w:r>
    </w:p>
    <w:p w14:paraId="6538D5BB" w14:textId="77777777" w:rsidR="00972F00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拥挤度因子</w:t>
      </w:r>
      <w:r>
        <w:rPr>
          <w:rFonts w:ascii="Arial" w:eastAsia="等线" w:hAnsi="Arial" w:cs="Arial"/>
        </w:rPr>
        <w:t>：基于成交量、波动率、持仓集中度构建，规避高拥挤行业与个股</w:t>
      </w:r>
    </w:p>
    <w:p w14:paraId="506C5D78" w14:textId="77777777" w:rsidR="00972F00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三、</w:t>
      </w:r>
      <w:r>
        <w:rPr>
          <w:rFonts w:ascii="Arial" w:eastAsia="等线" w:hAnsi="Arial" w:cs="Arial"/>
          <w:b/>
          <w:sz w:val="32"/>
        </w:rPr>
        <w:t xml:space="preserve">AI </w:t>
      </w:r>
      <w:r>
        <w:rPr>
          <w:rFonts w:ascii="Arial" w:eastAsia="等线" w:hAnsi="Arial" w:cs="Arial"/>
          <w:b/>
          <w:sz w:val="32"/>
        </w:rPr>
        <w:t>与机器学习因子（头部机构核心竞争力）</w:t>
      </w:r>
      <w:bookmarkEnd w:id="5"/>
    </w:p>
    <w:p w14:paraId="684AAC11" w14:textId="77777777" w:rsidR="00972F0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因子已从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锦上添花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变为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必备武器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，头部量化机构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因子贡献占比超过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：</w:t>
      </w:r>
    </w:p>
    <w:p w14:paraId="13B80276" w14:textId="77777777" w:rsidR="00972F00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深度学习量价因子</w:t>
      </w:r>
      <w:bookmarkEnd w:id="6"/>
    </w:p>
    <w:p w14:paraId="15432D21" w14:textId="77777777" w:rsidR="00972F00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全频段融合因子</w:t>
      </w:r>
      <w:r>
        <w:rPr>
          <w:rFonts w:ascii="Arial" w:eastAsia="等线" w:hAnsi="Arial" w:cs="Arial"/>
        </w:rPr>
        <w:t>：整合日频、周频、月频量价数据，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中证</w:t>
      </w:r>
      <w:r>
        <w:rPr>
          <w:rFonts w:ascii="Arial" w:eastAsia="等线" w:hAnsi="Arial" w:cs="Arial"/>
        </w:rPr>
        <w:t xml:space="preserve"> 1000 </w:t>
      </w:r>
      <w:r>
        <w:rPr>
          <w:rFonts w:ascii="Arial" w:eastAsia="等线" w:hAnsi="Arial" w:cs="Arial"/>
        </w:rPr>
        <w:t>增强组合自</w:t>
      </w:r>
      <w:r>
        <w:rPr>
          <w:rFonts w:ascii="Arial" w:eastAsia="等线" w:hAnsi="Arial" w:cs="Arial"/>
        </w:rPr>
        <w:t xml:space="preserve"> 2017 </w:t>
      </w:r>
      <w:r>
        <w:rPr>
          <w:rFonts w:ascii="Arial" w:eastAsia="等线" w:hAnsi="Arial" w:cs="Arial"/>
        </w:rPr>
        <w:t>年以来年化超额</w:t>
      </w:r>
      <w:r>
        <w:rPr>
          <w:rFonts w:ascii="Arial" w:eastAsia="等线" w:hAnsi="Arial" w:cs="Arial"/>
        </w:rPr>
        <w:t xml:space="preserve"> 21.99%</w:t>
      </w:r>
    </w:p>
    <w:p w14:paraId="4D2710AC" w14:textId="77777777" w:rsidR="00972F00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AGRU/GRU </w:t>
      </w:r>
      <w:r>
        <w:rPr>
          <w:rFonts w:ascii="Arial" w:eastAsia="等线" w:hAnsi="Arial" w:cs="Arial"/>
          <w:b/>
        </w:rPr>
        <w:t>因子</w:t>
      </w:r>
      <w:r>
        <w:rPr>
          <w:rFonts w:ascii="Arial" w:eastAsia="等线" w:hAnsi="Arial" w:cs="Arial"/>
        </w:rPr>
        <w:t>：基于循环神经网络的时序特征提取，</w:t>
      </w:r>
      <w:r>
        <w:rPr>
          <w:rFonts w:ascii="Arial" w:eastAsia="等线" w:hAnsi="Arial" w:cs="Arial"/>
        </w:rPr>
        <w:t xml:space="preserve">agru_dailyquote </w:t>
      </w:r>
      <w:r>
        <w:rPr>
          <w:rFonts w:ascii="Arial" w:eastAsia="等线" w:hAnsi="Arial" w:cs="Arial"/>
        </w:rPr>
        <w:t>因子历史</w:t>
      </w:r>
      <w:r>
        <w:rPr>
          <w:rFonts w:ascii="Arial" w:eastAsia="等线" w:hAnsi="Arial" w:cs="Arial"/>
        </w:rPr>
        <w:t xml:space="preserve"> RankIC </w:t>
      </w:r>
      <w:r>
        <w:rPr>
          <w:rFonts w:ascii="Arial" w:eastAsia="等线" w:hAnsi="Arial" w:cs="Arial"/>
        </w:rPr>
        <w:t>均值</w:t>
      </w:r>
      <w:r>
        <w:rPr>
          <w:rFonts w:ascii="Arial" w:eastAsia="等线" w:hAnsi="Arial" w:cs="Arial"/>
        </w:rPr>
        <w:t xml:space="preserve"> 13.71%</w:t>
      </w:r>
      <w:r>
        <w:rPr>
          <w:rFonts w:ascii="Arial" w:eastAsia="等线" w:hAnsi="Arial" w:cs="Arial"/>
        </w:rPr>
        <w:t>，胜率</w:t>
      </w:r>
      <w:r>
        <w:rPr>
          <w:rFonts w:ascii="Arial" w:eastAsia="等线" w:hAnsi="Arial" w:cs="Arial"/>
        </w:rPr>
        <w:t xml:space="preserve"> 91.07%</w:t>
      </w:r>
    </w:p>
    <w:p w14:paraId="6EB76D79" w14:textId="77777777" w:rsidR="00972F00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GAN_GRU </w:t>
      </w:r>
      <w:r>
        <w:rPr>
          <w:rFonts w:ascii="Arial" w:eastAsia="等线" w:hAnsi="Arial" w:cs="Arial"/>
          <w:b/>
        </w:rPr>
        <w:t>因子</w:t>
      </w:r>
      <w:r>
        <w:rPr>
          <w:rFonts w:ascii="Arial" w:eastAsia="等线" w:hAnsi="Arial" w:cs="Arial"/>
        </w:rPr>
        <w:t>：生成式对抗网络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门控循环单元，全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多头组合年化超额</w:t>
      </w:r>
      <w:r>
        <w:rPr>
          <w:rFonts w:ascii="Arial" w:eastAsia="等线" w:hAnsi="Arial" w:cs="Arial"/>
        </w:rPr>
        <w:t xml:space="preserve"> 22.36%</w:t>
      </w:r>
    </w:p>
    <w:p w14:paraId="0DEFB6BE" w14:textId="77777777" w:rsidR="00972F00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 xml:space="preserve">iTransformer/Crossformer </w:t>
      </w:r>
      <w:r>
        <w:rPr>
          <w:rFonts w:ascii="Arial" w:eastAsia="等线" w:hAnsi="Arial" w:cs="Arial"/>
          <w:b/>
        </w:rPr>
        <w:t>因子</w:t>
      </w:r>
      <w:r>
        <w:rPr>
          <w:rFonts w:ascii="Arial" w:eastAsia="等线" w:hAnsi="Arial" w:cs="Arial"/>
        </w:rPr>
        <w:t>：捕捉变量间相关性，优于传统</w:t>
      </w:r>
      <w:r>
        <w:rPr>
          <w:rFonts w:ascii="Arial" w:eastAsia="等线" w:hAnsi="Arial" w:cs="Arial"/>
        </w:rPr>
        <w:t xml:space="preserve"> Transformer</w:t>
      </w:r>
    </w:p>
    <w:p w14:paraId="40424D32" w14:textId="77777777" w:rsidR="00972F00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大语言模型</w:t>
      </w:r>
      <w:r>
        <w:rPr>
          <w:rFonts w:ascii="Arial" w:eastAsia="等线" w:hAnsi="Arial" w:cs="Arial"/>
          <w:b/>
          <w:sz w:val="30"/>
        </w:rPr>
        <w:t xml:space="preserve"> (LLM) </w:t>
      </w:r>
      <w:r>
        <w:rPr>
          <w:rFonts w:ascii="Arial" w:eastAsia="等线" w:hAnsi="Arial" w:cs="Arial"/>
          <w:b/>
          <w:sz w:val="30"/>
        </w:rPr>
        <w:t>因子</w:t>
      </w:r>
      <w:bookmarkEnd w:id="7"/>
    </w:p>
    <w:p w14:paraId="4A985D84" w14:textId="77777777" w:rsidR="00972F00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文本</w:t>
      </w:r>
      <w:r>
        <w:rPr>
          <w:rFonts w:ascii="Arial" w:eastAsia="等线" w:hAnsi="Arial" w:cs="Arial"/>
          <w:b/>
        </w:rPr>
        <w:t xml:space="preserve"> LLM-FADT </w:t>
      </w:r>
      <w:r>
        <w:rPr>
          <w:rFonts w:ascii="Arial" w:eastAsia="等线" w:hAnsi="Arial" w:cs="Arial"/>
          <w:b/>
        </w:rPr>
        <w:t>因子</w:t>
      </w:r>
      <w:r>
        <w:rPr>
          <w:rFonts w:ascii="Arial" w:eastAsia="等线" w:hAnsi="Arial" w:cs="Arial"/>
        </w:rPr>
        <w:t>：分析研报、新闻、公告的语义与情绪，</w:t>
      </w:r>
      <w:r>
        <w:rPr>
          <w:rFonts w:ascii="Arial" w:eastAsia="等线" w:hAnsi="Arial" w:cs="Arial"/>
        </w:rPr>
        <w:t xml:space="preserve">3 </w:t>
      </w:r>
      <w:r>
        <w:rPr>
          <w:rFonts w:ascii="Arial" w:eastAsia="等线" w:hAnsi="Arial" w:cs="Arial"/>
        </w:rPr>
        <w:t>月相对中证</w:t>
      </w:r>
      <w:r>
        <w:rPr>
          <w:rFonts w:ascii="Arial" w:eastAsia="等线" w:hAnsi="Arial" w:cs="Arial"/>
        </w:rPr>
        <w:t xml:space="preserve"> 500 </w:t>
      </w:r>
      <w:r>
        <w:rPr>
          <w:rFonts w:ascii="Arial" w:eastAsia="等线" w:hAnsi="Arial" w:cs="Arial"/>
        </w:rPr>
        <w:t>超额</w:t>
      </w:r>
      <w:r>
        <w:rPr>
          <w:rFonts w:ascii="Arial" w:eastAsia="等线" w:hAnsi="Arial" w:cs="Arial"/>
        </w:rPr>
        <w:t xml:space="preserve"> 6.0%</w:t>
      </w:r>
    </w:p>
    <w:p w14:paraId="52486F70" w14:textId="77777777" w:rsidR="00972F00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GPT </w:t>
      </w:r>
      <w:r>
        <w:rPr>
          <w:rFonts w:ascii="Arial" w:eastAsia="等线" w:hAnsi="Arial" w:cs="Arial"/>
          <w:b/>
        </w:rPr>
        <w:t>生成因子</w:t>
      </w:r>
      <w:r>
        <w:rPr>
          <w:rFonts w:ascii="Arial" w:eastAsia="等线" w:hAnsi="Arial" w:cs="Arial"/>
        </w:rPr>
        <w:t>：基于大模型自动生成分钟线、等量</w:t>
      </w:r>
      <w:r>
        <w:rPr>
          <w:rFonts w:ascii="Arial" w:eastAsia="等线" w:hAnsi="Arial" w:cs="Arial"/>
        </w:rPr>
        <w:t xml:space="preserve"> K </w:t>
      </w:r>
      <w:r>
        <w:rPr>
          <w:rFonts w:ascii="Arial" w:eastAsia="等线" w:hAnsi="Arial" w:cs="Arial"/>
        </w:rPr>
        <w:t>线、</w:t>
      </w:r>
      <w:r>
        <w:rPr>
          <w:rFonts w:ascii="Arial" w:eastAsia="等线" w:hAnsi="Arial" w:cs="Arial"/>
        </w:rPr>
        <w:t xml:space="preserve">tick </w:t>
      </w:r>
      <w:r>
        <w:rPr>
          <w:rFonts w:ascii="Arial" w:eastAsia="等线" w:hAnsi="Arial" w:cs="Arial"/>
        </w:rPr>
        <w:t>级因子，周度</w:t>
      </w:r>
      <w:r>
        <w:rPr>
          <w:rFonts w:ascii="Arial" w:eastAsia="等线" w:hAnsi="Arial" w:cs="Arial"/>
        </w:rPr>
        <w:t xml:space="preserve"> RankIC </w:t>
      </w:r>
      <w:r>
        <w:rPr>
          <w:rFonts w:ascii="Arial" w:eastAsia="等线" w:hAnsi="Arial" w:cs="Arial"/>
        </w:rPr>
        <w:t>达</w:t>
      </w:r>
      <w:r>
        <w:rPr>
          <w:rFonts w:ascii="Arial" w:eastAsia="等线" w:hAnsi="Arial" w:cs="Arial"/>
        </w:rPr>
        <w:t xml:space="preserve"> 11.18%</w:t>
      </w:r>
    </w:p>
    <w:p w14:paraId="3FE7F766" w14:textId="77777777" w:rsidR="00972F00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事件驱动</w:t>
      </w:r>
      <w:r>
        <w:rPr>
          <w:rFonts w:ascii="Arial" w:eastAsia="等线" w:hAnsi="Arial" w:cs="Arial"/>
          <w:b/>
        </w:rPr>
        <w:t xml:space="preserve"> LLM </w:t>
      </w:r>
      <w:r>
        <w:rPr>
          <w:rFonts w:ascii="Arial" w:eastAsia="等线" w:hAnsi="Arial" w:cs="Arial"/>
          <w:b/>
        </w:rPr>
        <w:t>因子</w:t>
      </w:r>
      <w:r>
        <w:rPr>
          <w:rFonts w:ascii="Arial" w:eastAsia="等线" w:hAnsi="Arial" w:cs="Arial"/>
        </w:rPr>
        <w:t>：识别业绩预告、并购重组、政策公告等事件的影响程度与持续时间</w:t>
      </w:r>
    </w:p>
    <w:p w14:paraId="410AEA7B" w14:textId="77777777" w:rsidR="00972F00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>四、另类数据因子（增量</w:t>
      </w:r>
      <w:r>
        <w:rPr>
          <w:rFonts w:ascii="Arial" w:eastAsia="等线" w:hAnsi="Arial" w:cs="Arial"/>
          <w:b/>
          <w:sz w:val="32"/>
        </w:rPr>
        <w:t xml:space="preserve"> Alpha </w:t>
      </w:r>
      <w:r>
        <w:rPr>
          <w:rFonts w:ascii="Arial" w:eastAsia="等线" w:hAnsi="Arial" w:cs="Arial"/>
          <w:b/>
          <w:sz w:val="32"/>
        </w:rPr>
        <w:t>来源）</w:t>
      </w:r>
      <w:bookmarkEnd w:id="8"/>
    </w:p>
    <w:p w14:paraId="5AD25623" w14:textId="77777777" w:rsidR="00972F0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另类数据因子占比持续提升，头部机构已达到</w:t>
      </w:r>
      <w:r>
        <w:rPr>
          <w:rFonts w:ascii="Arial" w:eastAsia="等线" w:hAnsi="Arial" w:cs="Arial"/>
        </w:rPr>
        <w:t xml:space="preserve"> 20% </w:t>
      </w:r>
      <w:r>
        <w:rPr>
          <w:rFonts w:ascii="Arial" w:eastAsia="等线" w:hAnsi="Arial" w:cs="Arial"/>
        </w:rPr>
        <w:t>以上，主要包括：</w:t>
      </w:r>
    </w:p>
    <w:p w14:paraId="523F544E" w14:textId="77777777" w:rsidR="00972F00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卫星与地理数据</w:t>
      </w:r>
      <w:r>
        <w:rPr>
          <w:rFonts w:ascii="Arial" w:eastAsia="等线" w:hAnsi="Arial" w:cs="Arial"/>
        </w:rPr>
        <w:t>：物流园区卡车</w:t>
      </w:r>
      <w:r>
        <w:rPr>
          <w:rFonts w:ascii="Arial" w:eastAsia="等线" w:hAnsi="Arial" w:cs="Arial"/>
        </w:rPr>
        <w:t xml:space="preserve"> GPS </w:t>
      </w:r>
      <w:r>
        <w:rPr>
          <w:rFonts w:ascii="Arial" w:eastAsia="等线" w:hAnsi="Arial" w:cs="Arial"/>
        </w:rPr>
        <w:t>轨迹、港口集装箱吞吐量、工厂开工率</w:t>
      </w:r>
    </w:p>
    <w:p w14:paraId="62921B23" w14:textId="77777777" w:rsidR="00972F00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消费数据</w:t>
      </w:r>
      <w:r>
        <w:rPr>
          <w:rFonts w:ascii="Arial" w:eastAsia="等线" w:hAnsi="Arial" w:cs="Arial"/>
        </w:rPr>
        <w:t>：信用卡交易、电商平台销量、门店客流</w:t>
      </w:r>
    </w:p>
    <w:p w14:paraId="1A27EFA6" w14:textId="77777777" w:rsidR="00972F00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舆情与社交数据</w:t>
      </w:r>
      <w:r>
        <w:rPr>
          <w:rFonts w:ascii="Arial" w:eastAsia="等线" w:hAnsi="Arial" w:cs="Arial"/>
        </w:rPr>
        <w:t>：股吧情绪、微博热度、新闻传播速度与影响力</w:t>
      </w:r>
    </w:p>
    <w:p w14:paraId="0921764B" w14:textId="77777777" w:rsidR="00972F00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产业链数据</w:t>
      </w:r>
      <w:r>
        <w:rPr>
          <w:rFonts w:ascii="Arial" w:eastAsia="等线" w:hAnsi="Arial" w:cs="Arial"/>
        </w:rPr>
        <w:t>：供应链上下游订单、原材料价格、产能利用率</w:t>
      </w:r>
    </w:p>
    <w:p w14:paraId="63C3DD8E" w14:textId="77777777" w:rsidR="00972F00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ESG </w:t>
      </w:r>
      <w:r>
        <w:rPr>
          <w:rFonts w:ascii="Arial" w:eastAsia="等线" w:hAnsi="Arial" w:cs="Arial"/>
          <w:b/>
        </w:rPr>
        <w:t>因子</w:t>
      </w:r>
      <w:r>
        <w:rPr>
          <w:rFonts w:ascii="Arial" w:eastAsia="等线" w:hAnsi="Arial" w:cs="Arial"/>
        </w:rPr>
        <w:t>：环境、社会、治理评分，与传统因子结合产生正向协同效应</w:t>
      </w:r>
    </w:p>
    <w:p w14:paraId="6C178745" w14:textId="77777777" w:rsidR="00972F00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>五、</w:t>
      </w:r>
      <w:r>
        <w:rPr>
          <w:rFonts w:ascii="Arial" w:eastAsia="等线" w:hAnsi="Arial" w:cs="Arial"/>
          <w:b/>
          <w:sz w:val="32"/>
        </w:rPr>
        <w:t xml:space="preserve">2026 </w:t>
      </w:r>
      <w:r>
        <w:rPr>
          <w:rFonts w:ascii="Arial" w:eastAsia="等线" w:hAnsi="Arial" w:cs="Arial"/>
          <w:b/>
          <w:sz w:val="32"/>
        </w:rPr>
        <w:t>年因子投资最新趋势</w:t>
      </w:r>
      <w:bookmarkEnd w:id="9"/>
    </w:p>
    <w:p w14:paraId="5DAD577A" w14:textId="77777777" w:rsidR="00972F00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策略降频</w:t>
      </w:r>
      <w:r>
        <w:rPr>
          <w:rFonts w:ascii="Arial" w:eastAsia="等线" w:hAnsi="Arial" w:cs="Arial"/>
        </w:rPr>
        <w:t>：受监管影响，高频交易占比从</w:t>
      </w:r>
      <w:r>
        <w:rPr>
          <w:rFonts w:ascii="Arial" w:eastAsia="等线" w:hAnsi="Arial" w:cs="Arial"/>
        </w:rPr>
        <w:t xml:space="preserve"> 2022 </w:t>
      </w:r>
      <w:r>
        <w:rPr>
          <w:rFonts w:ascii="Arial" w:eastAsia="等线" w:hAnsi="Arial" w:cs="Arial"/>
        </w:rPr>
        <w:t>年的</w:t>
      </w:r>
      <w:r>
        <w:rPr>
          <w:rFonts w:ascii="Arial" w:eastAsia="等线" w:hAnsi="Arial" w:cs="Arial"/>
        </w:rPr>
        <w:t xml:space="preserve"> 35% </w:t>
      </w:r>
      <w:r>
        <w:rPr>
          <w:rFonts w:ascii="Arial" w:eastAsia="等线" w:hAnsi="Arial" w:cs="Arial"/>
        </w:rPr>
        <w:t>降至</w:t>
      </w:r>
      <w:r>
        <w:rPr>
          <w:rFonts w:ascii="Arial" w:eastAsia="等线" w:hAnsi="Arial" w:cs="Arial"/>
        </w:rPr>
        <w:t xml:space="preserve"> 2025 </w:t>
      </w:r>
      <w:r>
        <w:rPr>
          <w:rFonts w:ascii="Arial" w:eastAsia="等线" w:hAnsi="Arial" w:cs="Arial"/>
        </w:rPr>
        <w:t>年的</w:t>
      </w:r>
      <w:r>
        <w:rPr>
          <w:rFonts w:ascii="Arial" w:eastAsia="等线" w:hAnsi="Arial" w:cs="Arial"/>
        </w:rPr>
        <w:t xml:space="preserve"> 18%</w:t>
      </w:r>
      <w:r>
        <w:rPr>
          <w:rFonts w:ascii="Arial" w:eastAsia="等线" w:hAnsi="Arial" w:cs="Arial"/>
        </w:rPr>
        <w:t>，策略向中低频迁移</w:t>
      </w:r>
    </w:p>
    <w:p w14:paraId="5E01D56F" w14:textId="77777777" w:rsidR="00972F00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因子融合</w:t>
      </w:r>
      <w:r>
        <w:rPr>
          <w:rFonts w:ascii="Arial" w:eastAsia="等线" w:hAnsi="Arial" w:cs="Arial"/>
        </w:rPr>
        <w:t>：单一因子失效加速，多因子动态加权成为标配，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在因子权重分配中发挥关键作用</w:t>
      </w:r>
    </w:p>
    <w:p w14:paraId="0765F5AB" w14:textId="77777777" w:rsidR="00972F00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风格均衡</w:t>
      </w:r>
      <w:r>
        <w:rPr>
          <w:rFonts w:ascii="Arial" w:eastAsia="等线" w:hAnsi="Arial" w:cs="Arial"/>
        </w:rPr>
        <w:t>：从</w:t>
      </w:r>
      <w:r>
        <w:rPr>
          <w:rFonts w:ascii="Arial" w:eastAsia="等线" w:hAnsi="Arial" w:cs="Arial"/>
        </w:rPr>
        <w:t xml:space="preserve"> 2025 </w:t>
      </w:r>
      <w:r>
        <w:rPr>
          <w:rFonts w:ascii="Arial" w:eastAsia="等线" w:hAnsi="Arial" w:cs="Arial"/>
        </w:rPr>
        <w:t>年的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单一成长占优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转向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成长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价值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质量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均衡配置</w:t>
      </w:r>
    </w:p>
    <w:p w14:paraId="6D8E5BA3" w14:textId="77777777" w:rsidR="00972F00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拥挤度管理</w:t>
      </w:r>
      <w:r>
        <w:rPr>
          <w:rFonts w:ascii="Arial" w:eastAsia="等线" w:hAnsi="Arial" w:cs="Arial"/>
        </w:rPr>
        <w:t>：因子拥挤度成为核心风控指标，头部机构实时监控因子拥挤度并动态调整暴露</w:t>
      </w:r>
    </w:p>
    <w:p w14:paraId="095E771A" w14:textId="77777777" w:rsidR="00972F00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>六、重要提醒</w:t>
      </w:r>
      <w:bookmarkEnd w:id="10"/>
    </w:p>
    <w:p w14:paraId="080BCFBB" w14:textId="77777777" w:rsidR="00972F00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传统因子（如简单</w:t>
      </w:r>
      <w:r>
        <w:rPr>
          <w:rFonts w:ascii="Arial" w:eastAsia="等线" w:hAnsi="Arial" w:cs="Arial"/>
        </w:rPr>
        <w:t xml:space="preserve"> PE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PB</w:t>
      </w:r>
      <w:r>
        <w:rPr>
          <w:rFonts w:ascii="Arial" w:eastAsia="等线" w:hAnsi="Arial" w:cs="Arial"/>
        </w:rPr>
        <w:t>、动量）有效性半衰期已缩短至</w:t>
      </w:r>
      <w:r>
        <w:rPr>
          <w:rFonts w:ascii="Arial" w:eastAsia="等线" w:hAnsi="Arial" w:cs="Arial"/>
        </w:rPr>
        <w:t xml:space="preserve"> 6-12 </w:t>
      </w:r>
      <w:r>
        <w:rPr>
          <w:rFonts w:ascii="Arial" w:eastAsia="等线" w:hAnsi="Arial" w:cs="Arial"/>
        </w:rPr>
        <w:t>个月</w:t>
      </w:r>
    </w:p>
    <w:p w14:paraId="482CDDA6" w14:textId="77777777" w:rsidR="00972F00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中小盘因子容量有限，规模过大的产品超额收益会显著衰减</w:t>
      </w:r>
    </w:p>
    <w:p w14:paraId="7C40034A" w14:textId="77777777" w:rsidR="00972F00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因子存在过拟合风险，样本外表现需持续跟踪验证</w:t>
      </w:r>
    </w:p>
    <w:p w14:paraId="3ECB33DB" w14:textId="77777777" w:rsidR="00972F0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需要我整理一份</w:t>
      </w:r>
      <w:r>
        <w:rPr>
          <w:rFonts w:ascii="Arial" w:eastAsia="等线" w:hAnsi="Arial" w:cs="Arial"/>
          <w:b/>
        </w:rPr>
        <w:t>可直接回测的因子公式清单</w:t>
      </w:r>
      <w:r>
        <w:rPr>
          <w:rFonts w:ascii="Arial" w:eastAsia="等线" w:hAnsi="Arial" w:cs="Arial"/>
        </w:rPr>
        <w:t>（包含计算方法和参数设置）吗？</w:t>
      </w:r>
    </w:p>
    <w:p w14:paraId="149129B5" w14:textId="77777777" w:rsidR="00972F0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972F00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A0EE2" w14:textId="77777777" w:rsidR="005D1131" w:rsidRDefault="005D113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A78437" w14:textId="77777777" w:rsidR="005D1131" w:rsidRDefault="005D113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30E40" w14:textId="77777777" w:rsidR="005D1131" w:rsidRDefault="005D113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6D12DA" w14:textId="77777777" w:rsidR="005D1131" w:rsidRDefault="005D113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24D4"/>
    <w:multiLevelType w:val="multilevel"/>
    <w:tmpl w:val="FECA2F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5879DA"/>
    <w:multiLevelType w:val="multilevel"/>
    <w:tmpl w:val="05F873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E22C06"/>
    <w:multiLevelType w:val="multilevel"/>
    <w:tmpl w:val="5E8CB8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A240E6A"/>
    <w:multiLevelType w:val="multilevel"/>
    <w:tmpl w:val="4954712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AE50CA3"/>
    <w:multiLevelType w:val="multilevel"/>
    <w:tmpl w:val="FA2E5D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6596695"/>
    <w:multiLevelType w:val="multilevel"/>
    <w:tmpl w:val="4620BF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69441D1"/>
    <w:multiLevelType w:val="multilevel"/>
    <w:tmpl w:val="1AC8C9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B771E37"/>
    <w:multiLevelType w:val="multilevel"/>
    <w:tmpl w:val="B45823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E773CFF"/>
    <w:multiLevelType w:val="multilevel"/>
    <w:tmpl w:val="AC9685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EBF0DD2"/>
    <w:multiLevelType w:val="multilevel"/>
    <w:tmpl w:val="DC0414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41D6ADD"/>
    <w:multiLevelType w:val="multilevel"/>
    <w:tmpl w:val="C72680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0A37A38"/>
    <w:multiLevelType w:val="multilevel"/>
    <w:tmpl w:val="17D6F5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4234336"/>
    <w:multiLevelType w:val="multilevel"/>
    <w:tmpl w:val="74846D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96A2363"/>
    <w:multiLevelType w:val="multilevel"/>
    <w:tmpl w:val="AAFCEF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D284C1C"/>
    <w:multiLevelType w:val="multilevel"/>
    <w:tmpl w:val="17E89A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DFF6CA9"/>
    <w:multiLevelType w:val="multilevel"/>
    <w:tmpl w:val="9F12E25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54924C1"/>
    <w:multiLevelType w:val="multilevel"/>
    <w:tmpl w:val="8E885E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84B754F"/>
    <w:multiLevelType w:val="multilevel"/>
    <w:tmpl w:val="435A35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8C25F58"/>
    <w:multiLevelType w:val="multilevel"/>
    <w:tmpl w:val="177063C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9817E47"/>
    <w:multiLevelType w:val="multilevel"/>
    <w:tmpl w:val="7292A8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A6E77CD"/>
    <w:multiLevelType w:val="multilevel"/>
    <w:tmpl w:val="7F2648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1C7549C"/>
    <w:multiLevelType w:val="multilevel"/>
    <w:tmpl w:val="5926A2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37C5A9C"/>
    <w:multiLevelType w:val="multilevel"/>
    <w:tmpl w:val="9998F35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A7D7924"/>
    <w:multiLevelType w:val="multilevel"/>
    <w:tmpl w:val="56462B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CDF7357"/>
    <w:multiLevelType w:val="multilevel"/>
    <w:tmpl w:val="676CF2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5CC6A4B"/>
    <w:multiLevelType w:val="multilevel"/>
    <w:tmpl w:val="F85687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78F0579"/>
    <w:multiLevelType w:val="multilevel"/>
    <w:tmpl w:val="5C72E7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60798490">
    <w:abstractNumId w:val="6"/>
  </w:num>
  <w:num w:numId="2" w16cid:durableId="1943418684">
    <w:abstractNumId w:val="24"/>
  </w:num>
  <w:num w:numId="3" w16cid:durableId="539171850">
    <w:abstractNumId w:val="11"/>
  </w:num>
  <w:num w:numId="4" w16cid:durableId="1515192424">
    <w:abstractNumId w:val="7"/>
  </w:num>
  <w:num w:numId="5" w16cid:durableId="1647123578">
    <w:abstractNumId w:val="5"/>
  </w:num>
  <w:num w:numId="6" w16cid:durableId="1229994545">
    <w:abstractNumId w:val="8"/>
  </w:num>
  <w:num w:numId="7" w16cid:durableId="1320764347">
    <w:abstractNumId w:val="9"/>
  </w:num>
  <w:num w:numId="8" w16cid:durableId="96294351">
    <w:abstractNumId w:val="12"/>
  </w:num>
  <w:num w:numId="9" w16cid:durableId="382414471">
    <w:abstractNumId w:val="17"/>
  </w:num>
  <w:num w:numId="10" w16cid:durableId="1881286832">
    <w:abstractNumId w:val="21"/>
  </w:num>
  <w:num w:numId="11" w16cid:durableId="2097241113">
    <w:abstractNumId w:val="10"/>
  </w:num>
  <w:num w:numId="12" w16cid:durableId="142892719">
    <w:abstractNumId w:val="16"/>
  </w:num>
  <w:num w:numId="13" w16cid:durableId="607468872">
    <w:abstractNumId w:val="4"/>
  </w:num>
  <w:num w:numId="14" w16cid:durableId="512454448">
    <w:abstractNumId w:val="1"/>
  </w:num>
  <w:num w:numId="15" w16cid:durableId="1478256490">
    <w:abstractNumId w:val="0"/>
  </w:num>
  <w:num w:numId="16" w16cid:durableId="871309339">
    <w:abstractNumId w:val="20"/>
  </w:num>
  <w:num w:numId="17" w16cid:durableId="1846557085">
    <w:abstractNumId w:val="26"/>
  </w:num>
  <w:num w:numId="18" w16cid:durableId="340471347">
    <w:abstractNumId w:val="2"/>
  </w:num>
  <w:num w:numId="19" w16cid:durableId="1120295679">
    <w:abstractNumId w:val="23"/>
  </w:num>
  <w:num w:numId="20" w16cid:durableId="158692341">
    <w:abstractNumId w:val="19"/>
  </w:num>
  <w:num w:numId="21" w16cid:durableId="1882015279">
    <w:abstractNumId w:val="3"/>
  </w:num>
  <w:num w:numId="22" w16cid:durableId="1326125028">
    <w:abstractNumId w:val="22"/>
  </w:num>
  <w:num w:numId="23" w16cid:durableId="488449610">
    <w:abstractNumId w:val="15"/>
  </w:num>
  <w:num w:numId="24" w16cid:durableId="976836539">
    <w:abstractNumId w:val="18"/>
  </w:num>
  <w:num w:numId="25" w16cid:durableId="809787502">
    <w:abstractNumId w:val="25"/>
  </w:num>
  <w:num w:numId="26" w16cid:durableId="30963510">
    <w:abstractNumId w:val="13"/>
  </w:num>
  <w:num w:numId="27" w16cid:durableId="9633413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F00"/>
    <w:rsid w:val="0004064D"/>
    <w:rsid w:val="005D1131"/>
    <w:rsid w:val="007E20ED"/>
    <w:rsid w:val="0097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23743"/>
  <w15:docId w15:val="{EB9A49D8-0EF1-4E39-8E9F-DFDF6E32C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20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20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20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20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993</Words>
  <Characters>1212</Characters>
  <Application>Microsoft Office Word</Application>
  <DocSecurity>0</DocSecurity>
  <Lines>67</Lines>
  <Paragraphs>84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Johnny Zhang</cp:lastModifiedBy>
  <cp:revision>2</cp:revision>
  <dcterms:created xsi:type="dcterms:W3CDTF">2026-04-21T02:59:00Z</dcterms:created>
  <dcterms:modified xsi:type="dcterms:W3CDTF">2026-04-21T02:59:00Z</dcterms:modified>
</cp:coreProperties>
</file>