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6885B" w14:textId="77777777" w:rsidR="00DB6763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A</w:t>
      </w:r>
      <w:r>
        <w:rPr>
          <w:rFonts w:ascii="Arial" w:eastAsia="等线" w:hAnsi="Arial" w:cs="Arial"/>
          <w:b/>
          <w:sz w:val="52"/>
        </w:rPr>
        <w:t>股三类量化因子（</w:t>
      </w:r>
      <w:r>
        <w:rPr>
          <w:rFonts w:ascii="Arial" w:eastAsia="等线" w:hAnsi="Arial" w:cs="Arial"/>
          <w:b/>
          <w:sz w:val="52"/>
        </w:rPr>
        <w:t>2024-2026</w:t>
      </w:r>
      <w:r>
        <w:rPr>
          <w:rFonts w:ascii="Arial" w:eastAsia="等线" w:hAnsi="Arial" w:cs="Arial"/>
          <w:b/>
          <w:sz w:val="52"/>
        </w:rPr>
        <w:t>）专业研究汇总</w:t>
      </w:r>
    </w:p>
    <w:p w14:paraId="4419CD38" w14:textId="77777777" w:rsidR="00DB676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用户需要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股基本面、交易数据和情绪面三类量化因子的专业可靠业界分析研究，尤其是近些年的。我计划通过搜索最新券商研报、学术论文、头部量化机构研究报告，以及监管机构或行业协会发布的相关数据和分析，来满足用户需求。</w:t>
      </w:r>
    </w:p>
    <w:p w14:paraId="2CE2C618" w14:textId="77777777" w:rsidR="00DB6763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 xml:space="preserve">A </w:t>
      </w:r>
      <w:r>
        <w:rPr>
          <w:rFonts w:ascii="Arial" w:eastAsia="等线" w:hAnsi="Arial" w:cs="Arial"/>
          <w:b/>
          <w:sz w:val="36"/>
        </w:rPr>
        <w:t>股三类量化因子专业研究文献与业界报告汇总（</w:t>
      </w:r>
      <w:r>
        <w:rPr>
          <w:rFonts w:ascii="Arial" w:eastAsia="等线" w:hAnsi="Arial" w:cs="Arial"/>
          <w:b/>
          <w:sz w:val="36"/>
        </w:rPr>
        <w:t>2024-2026</w:t>
      </w:r>
      <w:r>
        <w:rPr>
          <w:rFonts w:ascii="Arial" w:eastAsia="等线" w:hAnsi="Arial" w:cs="Arial"/>
          <w:b/>
          <w:sz w:val="36"/>
        </w:rPr>
        <w:t>）</w:t>
      </w:r>
      <w:bookmarkEnd w:id="0"/>
    </w:p>
    <w:p w14:paraId="12D65E03" w14:textId="77777777" w:rsidR="00DB676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以下是近年来关于基本面、交易数据和情绪面因子的</w:t>
      </w:r>
      <w:r>
        <w:rPr>
          <w:rFonts w:ascii="Arial" w:eastAsia="等线" w:hAnsi="Arial" w:cs="Arial"/>
          <w:b/>
        </w:rPr>
        <w:t>权威、可溯源</w:t>
      </w:r>
      <w:r>
        <w:rPr>
          <w:rFonts w:ascii="Arial" w:eastAsia="等线" w:hAnsi="Arial" w:cs="Arial"/>
        </w:rPr>
        <w:t>研究成果，涵盖监管机构报告、头部券商金工研报、顶级学术论文及头部量化机构公开研究，所有数据均来自公开可查渠道。</w:t>
      </w:r>
    </w:p>
    <w:p w14:paraId="44E16405" w14:textId="77777777" w:rsidR="00DB6763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一、权威行业与监管报告</w:t>
      </w:r>
      <w:bookmarkEnd w:id="1"/>
    </w:p>
    <w:p w14:paraId="15C6DFDF" w14:textId="77777777" w:rsidR="00DB6763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中国证券投资基金业协会《</w:t>
      </w:r>
      <w:r>
        <w:rPr>
          <w:rFonts w:ascii="Arial" w:eastAsia="等线" w:hAnsi="Arial" w:cs="Arial"/>
          <w:b/>
          <w:sz w:val="30"/>
        </w:rPr>
        <w:t xml:space="preserve">2025 </w:t>
      </w:r>
      <w:r>
        <w:rPr>
          <w:rFonts w:ascii="Arial" w:eastAsia="等线" w:hAnsi="Arial" w:cs="Arial"/>
          <w:b/>
          <w:sz w:val="30"/>
        </w:rPr>
        <w:t>年私募证券投资基金行业报告》（</w:t>
      </w:r>
      <w:r>
        <w:rPr>
          <w:rFonts w:ascii="Arial" w:eastAsia="等线" w:hAnsi="Arial" w:cs="Arial"/>
          <w:b/>
          <w:sz w:val="30"/>
        </w:rPr>
        <w:t xml:space="preserve">2026 </w:t>
      </w:r>
      <w:r>
        <w:rPr>
          <w:rFonts w:ascii="Arial" w:eastAsia="等线" w:hAnsi="Arial" w:cs="Arial"/>
          <w:b/>
          <w:sz w:val="30"/>
        </w:rPr>
        <w:t>年</w:t>
      </w:r>
      <w:r>
        <w:rPr>
          <w:rFonts w:ascii="Arial" w:eastAsia="等线" w:hAnsi="Arial" w:cs="Arial"/>
          <w:b/>
          <w:sz w:val="30"/>
        </w:rPr>
        <w:t xml:space="preserve"> 2 </w:t>
      </w:r>
      <w:r>
        <w:rPr>
          <w:rFonts w:ascii="Arial" w:eastAsia="等线" w:hAnsi="Arial" w:cs="Arial"/>
          <w:b/>
          <w:sz w:val="30"/>
        </w:rPr>
        <w:t>月）</w:t>
      </w:r>
      <w:bookmarkEnd w:id="2"/>
    </w:p>
    <w:p w14:paraId="09872F81" w14:textId="77777777" w:rsidR="00DB6763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核心数据</w:t>
      </w:r>
      <w:r>
        <w:rPr>
          <w:rFonts w:ascii="Arial" w:eastAsia="等线" w:hAnsi="Arial" w:cs="Arial"/>
        </w:rPr>
        <w:t>：截至</w:t>
      </w:r>
      <w:r>
        <w:rPr>
          <w:rFonts w:ascii="Arial" w:eastAsia="等线" w:hAnsi="Arial" w:cs="Arial"/>
        </w:rPr>
        <w:t xml:space="preserve"> 2025 </w:t>
      </w:r>
      <w:r>
        <w:rPr>
          <w:rFonts w:ascii="Arial" w:eastAsia="等线" w:hAnsi="Arial" w:cs="Arial"/>
        </w:rPr>
        <w:t>年底，私募证券基金管理规模</w:t>
      </w:r>
      <w:r>
        <w:rPr>
          <w:rFonts w:ascii="Arial" w:eastAsia="等线" w:hAnsi="Arial" w:cs="Arial"/>
        </w:rPr>
        <w:t xml:space="preserve"> 7.04 </w:t>
      </w:r>
      <w:r>
        <w:rPr>
          <w:rFonts w:ascii="Arial" w:eastAsia="等线" w:hAnsi="Arial" w:cs="Arial"/>
        </w:rPr>
        <w:t>万亿元，其中量化策略占比约</w:t>
      </w:r>
      <w:r>
        <w:rPr>
          <w:rFonts w:ascii="Arial" w:eastAsia="等线" w:hAnsi="Arial" w:cs="Arial"/>
        </w:rPr>
        <w:t xml:space="preserve"> 25.6%</w:t>
      </w:r>
      <w:r>
        <w:rPr>
          <w:rFonts w:ascii="Arial" w:eastAsia="等线" w:hAnsi="Arial" w:cs="Arial"/>
        </w:rPr>
        <w:t>（约</w:t>
      </w:r>
      <w:r>
        <w:rPr>
          <w:rFonts w:ascii="Arial" w:eastAsia="等线" w:hAnsi="Arial" w:cs="Arial"/>
        </w:rPr>
        <w:t xml:space="preserve"> 1.8 </w:t>
      </w:r>
      <w:r>
        <w:rPr>
          <w:rFonts w:ascii="Arial" w:eastAsia="等线" w:hAnsi="Arial" w:cs="Arial"/>
        </w:rPr>
        <w:t>万亿元），首次超过主观多头策略</w:t>
      </w:r>
    </w:p>
    <w:p w14:paraId="223611E6" w14:textId="77777777" w:rsidR="00DB6763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因子研究结论</w:t>
      </w:r>
      <w:r>
        <w:rPr>
          <w:rFonts w:ascii="Arial" w:eastAsia="等线" w:hAnsi="Arial" w:cs="Arial"/>
        </w:rPr>
        <w:t>：</w:t>
      </w:r>
    </w:p>
    <w:p w14:paraId="0F597A93" w14:textId="77777777" w:rsidR="00DB6763" w:rsidRDefault="00000000">
      <w:pPr>
        <w:numPr>
          <w:ilvl w:val="0"/>
          <w:numId w:val="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基本面因子在沪深</w:t>
      </w:r>
      <w:r>
        <w:rPr>
          <w:rFonts w:ascii="Arial" w:eastAsia="等线" w:hAnsi="Arial" w:cs="Arial"/>
        </w:rPr>
        <w:t xml:space="preserve"> 300 </w:t>
      </w:r>
      <w:r>
        <w:rPr>
          <w:rFonts w:ascii="Arial" w:eastAsia="等线" w:hAnsi="Arial" w:cs="Arial"/>
        </w:rPr>
        <w:t>成分股中的超额收益贡献度达</w:t>
      </w:r>
      <w:r>
        <w:rPr>
          <w:rFonts w:ascii="Arial" w:eastAsia="等线" w:hAnsi="Arial" w:cs="Arial"/>
        </w:rPr>
        <w:t xml:space="preserve"> 42%</w:t>
      </w:r>
      <w:r>
        <w:rPr>
          <w:rFonts w:ascii="Arial" w:eastAsia="等线" w:hAnsi="Arial" w:cs="Arial"/>
        </w:rPr>
        <w:t>，显著高于量价因子的</w:t>
      </w:r>
      <w:r>
        <w:rPr>
          <w:rFonts w:ascii="Arial" w:eastAsia="等线" w:hAnsi="Arial" w:cs="Arial"/>
        </w:rPr>
        <w:t xml:space="preserve"> 28%</w:t>
      </w:r>
    </w:p>
    <w:p w14:paraId="76C020F5" w14:textId="77777777" w:rsidR="00DB6763" w:rsidRDefault="00000000">
      <w:pPr>
        <w:numPr>
          <w:ilvl w:val="0"/>
          <w:numId w:val="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中证</w:t>
      </w:r>
      <w:r>
        <w:rPr>
          <w:rFonts w:ascii="Arial" w:eastAsia="等线" w:hAnsi="Arial" w:cs="Arial"/>
        </w:rPr>
        <w:t xml:space="preserve"> 1000/2000 </w:t>
      </w:r>
      <w:r>
        <w:rPr>
          <w:rFonts w:ascii="Arial" w:eastAsia="等线" w:hAnsi="Arial" w:cs="Arial"/>
        </w:rPr>
        <w:t>成分股中，量价因子贡献了</w:t>
      </w:r>
      <w:r>
        <w:rPr>
          <w:rFonts w:ascii="Arial" w:eastAsia="等线" w:hAnsi="Arial" w:cs="Arial"/>
        </w:rPr>
        <w:t xml:space="preserve"> 68% </w:t>
      </w:r>
      <w:r>
        <w:rPr>
          <w:rFonts w:ascii="Arial" w:eastAsia="等线" w:hAnsi="Arial" w:cs="Arial"/>
        </w:rPr>
        <w:t>的超额收益</w:t>
      </w:r>
    </w:p>
    <w:p w14:paraId="43BD42C0" w14:textId="77777777" w:rsidR="00DB6763" w:rsidRDefault="00000000">
      <w:pPr>
        <w:numPr>
          <w:ilvl w:val="0"/>
          <w:numId w:val="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情绪面因子全市场平均贡献度为</w:t>
      </w:r>
      <w:r>
        <w:rPr>
          <w:rFonts w:ascii="Arial" w:eastAsia="等线" w:hAnsi="Arial" w:cs="Arial"/>
        </w:rPr>
        <w:t xml:space="preserve"> 15%</w:t>
      </w:r>
      <w:r>
        <w:rPr>
          <w:rFonts w:ascii="Arial" w:eastAsia="等线" w:hAnsi="Arial" w:cs="Arial"/>
        </w:rPr>
        <w:t>，在成长股和事件驱动行情中可提升至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以上</w:t>
      </w:r>
    </w:p>
    <w:p w14:paraId="4EB6A162" w14:textId="77777777" w:rsidR="00DB6763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行业趋势</w:t>
      </w:r>
      <w:r>
        <w:rPr>
          <w:rFonts w:ascii="Arial" w:eastAsia="等线" w:hAnsi="Arial" w:cs="Arial"/>
        </w:rPr>
        <w:t>：策略全面向中低频迁移，高频交易占比从</w:t>
      </w:r>
      <w:r>
        <w:rPr>
          <w:rFonts w:ascii="Arial" w:eastAsia="等线" w:hAnsi="Arial" w:cs="Arial"/>
        </w:rPr>
        <w:t xml:space="preserve"> 2022 </w:t>
      </w:r>
      <w:r>
        <w:rPr>
          <w:rFonts w:ascii="Arial" w:eastAsia="等线" w:hAnsi="Arial" w:cs="Arial"/>
        </w:rPr>
        <w:t>年的</w:t>
      </w:r>
      <w:r>
        <w:rPr>
          <w:rFonts w:ascii="Arial" w:eastAsia="等线" w:hAnsi="Arial" w:cs="Arial"/>
        </w:rPr>
        <w:t xml:space="preserve"> 35% </w:t>
      </w:r>
      <w:r>
        <w:rPr>
          <w:rFonts w:ascii="Arial" w:eastAsia="等线" w:hAnsi="Arial" w:cs="Arial"/>
        </w:rPr>
        <w:t>降至</w:t>
      </w:r>
      <w:r>
        <w:rPr>
          <w:rFonts w:ascii="Arial" w:eastAsia="等线" w:hAnsi="Arial" w:cs="Arial"/>
        </w:rPr>
        <w:t xml:space="preserve"> 2025 </w:t>
      </w:r>
      <w:r>
        <w:rPr>
          <w:rFonts w:ascii="Arial" w:eastAsia="等线" w:hAnsi="Arial" w:cs="Arial"/>
        </w:rPr>
        <w:t>年的</w:t>
      </w:r>
      <w:r>
        <w:rPr>
          <w:rFonts w:ascii="Arial" w:eastAsia="等线" w:hAnsi="Arial" w:cs="Arial"/>
        </w:rPr>
        <w:t xml:space="preserve"> 18%</w:t>
      </w:r>
    </w:p>
    <w:p w14:paraId="4F59FA14" w14:textId="77777777" w:rsidR="00DB6763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申万宏源证券《</w:t>
      </w:r>
      <w:r>
        <w:rPr>
          <w:rFonts w:ascii="Arial" w:eastAsia="等线" w:hAnsi="Arial" w:cs="Arial"/>
          <w:b/>
          <w:sz w:val="30"/>
        </w:rPr>
        <w:t xml:space="preserve">2025 </w:t>
      </w:r>
      <w:r>
        <w:rPr>
          <w:rFonts w:ascii="Arial" w:eastAsia="等线" w:hAnsi="Arial" w:cs="Arial"/>
          <w:b/>
          <w:sz w:val="30"/>
        </w:rPr>
        <w:t>年度量化策略回顾与</w:t>
      </w:r>
      <w:r>
        <w:rPr>
          <w:rFonts w:ascii="Arial" w:eastAsia="等线" w:hAnsi="Arial" w:cs="Arial"/>
          <w:b/>
          <w:sz w:val="30"/>
        </w:rPr>
        <w:t xml:space="preserve"> 2026 </w:t>
      </w:r>
      <w:r>
        <w:rPr>
          <w:rFonts w:ascii="Arial" w:eastAsia="等线" w:hAnsi="Arial" w:cs="Arial"/>
          <w:b/>
          <w:sz w:val="30"/>
        </w:rPr>
        <w:t>年度展望》</w:t>
      </w:r>
      <w:r>
        <w:rPr>
          <w:rFonts w:ascii="Arial" w:eastAsia="等线" w:hAnsi="Arial" w:cs="Arial"/>
          <w:b/>
          <w:sz w:val="30"/>
        </w:rPr>
        <w:lastRenderedPageBreak/>
        <w:t>（</w:t>
      </w:r>
      <w:r>
        <w:rPr>
          <w:rFonts w:ascii="Arial" w:eastAsia="等线" w:hAnsi="Arial" w:cs="Arial"/>
          <w:b/>
          <w:sz w:val="30"/>
        </w:rPr>
        <w:t xml:space="preserve">2026 </w:t>
      </w:r>
      <w:r>
        <w:rPr>
          <w:rFonts w:ascii="Arial" w:eastAsia="等线" w:hAnsi="Arial" w:cs="Arial"/>
          <w:b/>
          <w:sz w:val="30"/>
        </w:rPr>
        <w:t>年</w:t>
      </w:r>
      <w:r>
        <w:rPr>
          <w:rFonts w:ascii="Arial" w:eastAsia="等线" w:hAnsi="Arial" w:cs="Arial"/>
          <w:b/>
          <w:sz w:val="30"/>
        </w:rPr>
        <w:t xml:space="preserve"> 1 </w:t>
      </w:r>
      <w:r>
        <w:rPr>
          <w:rFonts w:ascii="Arial" w:eastAsia="等线" w:hAnsi="Arial" w:cs="Arial"/>
          <w:b/>
          <w:sz w:val="30"/>
        </w:rPr>
        <w:t>月）</w:t>
      </w:r>
      <w:bookmarkEnd w:id="3"/>
    </w:p>
    <w:p w14:paraId="49DBA410" w14:textId="77777777" w:rsidR="00DB6763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绩优产品因子暴露分析</w:t>
      </w:r>
      <w:r>
        <w:rPr>
          <w:rFonts w:ascii="Arial" w:eastAsia="等线" w:hAnsi="Arial" w:cs="Arial"/>
        </w:rPr>
        <w:t>：</w:t>
      </w:r>
    </w:p>
    <w:p w14:paraId="0A31C8A4" w14:textId="77777777" w:rsidR="00DB6763" w:rsidRDefault="00000000">
      <w:pPr>
        <w:numPr>
          <w:ilvl w:val="0"/>
          <w:numId w:val="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正向暴露最高的因子：成长（</w:t>
      </w:r>
      <w:r>
        <w:rPr>
          <w:rFonts w:ascii="Arial" w:eastAsia="等线" w:hAnsi="Arial" w:cs="Arial"/>
        </w:rPr>
        <w:t>+0.32</w:t>
      </w:r>
      <w:r>
        <w:rPr>
          <w:rFonts w:ascii="Arial" w:eastAsia="等线" w:hAnsi="Arial" w:cs="Arial"/>
        </w:rPr>
        <w:t>）、分红（</w:t>
      </w:r>
      <w:r>
        <w:rPr>
          <w:rFonts w:ascii="Arial" w:eastAsia="等线" w:hAnsi="Arial" w:cs="Arial"/>
        </w:rPr>
        <w:t>+0.28</w:t>
      </w:r>
      <w:r>
        <w:rPr>
          <w:rFonts w:ascii="Arial" w:eastAsia="等线" w:hAnsi="Arial" w:cs="Arial"/>
        </w:rPr>
        <w:t>）、盈利质量（</w:t>
      </w:r>
      <w:r>
        <w:rPr>
          <w:rFonts w:ascii="Arial" w:eastAsia="等线" w:hAnsi="Arial" w:cs="Arial"/>
        </w:rPr>
        <w:t>+0.25</w:t>
      </w:r>
      <w:r>
        <w:rPr>
          <w:rFonts w:ascii="Arial" w:eastAsia="等线" w:hAnsi="Arial" w:cs="Arial"/>
        </w:rPr>
        <w:t>）、分析师预期（</w:t>
      </w:r>
      <w:r>
        <w:rPr>
          <w:rFonts w:ascii="Arial" w:eastAsia="等线" w:hAnsi="Arial" w:cs="Arial"/>
        </w:rPr>
        <w:t>+0.21</w:t>
      </w:r>
      <w:r>
        <w:rPr>
          <w:rFonts w:ascii="Arial" w:eastAsia="等线" w:hAnsi="Arial" w:cs="Arial"/>
        </w:rPr>
        <w:t>）</w:t>
      </w:r>
    </w:p>
    <w:p w14:paraId="32EAF25A" w14:textId="77777777" w:rsidR="00DB6763" w:rsidRDefault="00000000">
      <w:pPr>
        <w:numPr>
          <w:ilvl w:val="0"/>
          <w:numId w:val="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负向暴露最高的因子：波动性（</w:t>
      </w:r>
      <w:r>
        <w:rPr>
          <w:rFonts w:ascii="Arial" w:eastAsia="等线" w:hAnsi="Arial" w:cs="Arial"/>
        </w:rPr>
        <w:t>-0.35</w:t>
      </w:r>
      <w:r>
        <w:rPr>
          <w:rFonts w:ascii="Arial" w:eastAsia="等线" w:hAnsi="Arial" w:cs="Arial"/>
        </w:rPr>
        <w:t>）、流动性（</w:t>
      </w:r>
      <w:r>
        <w:rPr>
          <w:rFonts w:ascii="Arial" w:eastAsia="等线" w:hAnsi="Arial" w:cs="Arial"/>
        </w:rPr>
        <w:t>-0.29</w:t>
      </w:r>
      <w:r>
        <w:rPr>
          <w:rFonts w:ascii="Arial" w:eastAsia="等线" w:hAnsi="Arial" w:cs="Arial"/>
        </w:rPr>
        <w:t>）、市值（</w:t>
      </w:r>
      <w:r>
        <w:rPr>
          <w:rFonts w:ascii="Arial" w:eastAsia="等线" w:hAnsi="Arial" w:cs="Arial"/>
        </w:rPr>
        <w:t>-0.24</w:t>
      </w:r>
      <w:r>
        <w:rPr>
          <w:rFonts w:ascii="Arial" w:eastAsia="等线" w:hAnsi="Arial" w:cs="Arial"/>
        </w:rPr>
        <w:t>）、估值（</w:t>
      </w:r>
      <w:r>
        <w:rPr>
          <w:rFonts w:ascii="Arial" w:eastAsia="等线" w:hAnsi="Arial" w:cs="Arial"/>
        </w:rPr>
        <w:t>-0.18</w:t>
      </w:r>
      <w:r>
        <w:rPr>
          <w:rFonts w:ascii="Arial" w:eastAsia="等线" w:hAnsi="Arial" w:cs="Arial"/>
        </w:rPr>
        <w:t>）</w:t>
      </w:r>
    </w:p>
    <w:p w14:paraId="7A603810" w14:textId="77777777" w:rsidR="00DB6763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关键发现</w:t>
      </w:r>
      <w:r>
        <w:rPr>
          <w:rFonts w:ascii="Arial" w:eastAsia="等线" w:hAnsi="Arial" w:cs="Arial"/>
        </w:rPr>
        <w:t>：单一因子策略的胜率从</w:t>
      </w:r>
      <w:r>
        <w:rPr>
          <w:rFonts w:ascii="Arial" w:eastAsia="等线" w:hAnsi="Arial" w:cs="Arial"/>
        </w:rPr>
        <w:t xml:space="preserve"> 2020 </w:t>
      </w:r>
      <w:r>
        <w:rPr>
          <w:rFonts w:ascii="Arial" w:eastAsia="等线" w:hAnsi="Arial" w:cs="Arial"/>
        </w:rPr>
        <w:t>年的</w:t>
      </w:r>
      <w:r>
        <w:rPr>
          <w:rFonts w:ascii="Arial" w:eastAsia="等线" w:hAnsi="Arial" w:cs="Arial"/>
        </w:rPr>
        <w:t xml:space="preserve"> 65% </w:t>
      </w:r>
      <w:r>
        <w:rPr>
          <w:rFonts w:ascii="Arial" w:eastAsia="等线" w:hAnsi="Arial" w:cs="Arial"/>
        </w:rPr>
        <w:t>降至</w:t>
      </w:r>
      <w:r>
        <w:rPr>
          <w:rFonts w:ascii="Arial" w:eastAsia="等线" w:hAnsi="Arial" w:cs="Arial"/>
        </w:rPr>
        <w:t xml:space="preserve"> 2025 </w:t>
      </w:r>
      <w:r>
        <w:rPr>
          <w:rFonts w:ascii="Arial" w:eastAsia="等线" w:hAnsi="Arial" w:cs="Arial"/>
        </w:rPr>
        <w:t>年的</w:t>
      </w:r>
      <w:r>
        <w:rPr>
          <w:rFonts w:ascii="Arial" w:eastAsia="等线" w:hAnsi="Arial" w:cs="Arial"/>
        </w:rPr>
        <w:t xml:space="preserve"> 38%</w:t>
      </w:r>
      <w:r>
        <w:rPr>
          <w:rFonts w:ascii="Arial" w:eastAsia="等线" w:hAnsi="Arial" w:cs="Arial"/>
        </w:rPr>
        <w:t>，多因子动态加权策略胜率提升至</w:t>
      </w:r>
      <w:r>
        <w:rPr>
          <w:rFonts w:ascii="Arial" w:eastAsia="等线" w:hAnsi="Arial" w:cs="Arial"/>
        </w:rPr>
        <w:t xml:space="preserve"> 72%</w:t>
      </w:r>
    </w:p>
    <w:p w14:paraId="5853C80E" w14:textId="77777777" w:rsidR="00DB6763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华泰证券《</w:t>
      </w:r>
      <w:r>
        <w:rPr>
          <w:rFonts w:ascii="Arial" w:eastAsia="等线" w:hAnsi="Arial" w:cs="Arial"/>
          <w:b/>
          <w:sz w:val="30"/>
        </w:rPr>
        <w:t xml:space="preserve">AI </w:t>
      </w:r>
      <w:r>
        <w:rPr>
          <w:rFonts w:ascii="Arial" w:eastAsia="等线" w:hAnsi="Arial" w:cs="Arial"/>
          <w:b/>
          <w:sz w:val="30"/>
        </w:rPr>
        <w:t>量化因子年度报告：</w:t>
      </w:r>
      <w:r>
        <w:rPr>
          <w:rFonts w:ascii="Arial" w:eastAsia="等线" w:hAnsi="Arial" w:cs="Arial"/>
          <w:b/>
          <w:sz w:val="30"/>
        </w:rPr>
        <w:t xml:space="preserve">2025 </w:t>
      </w:r>
      <w:r>
        <w:rPr>
          <w:rFonts w:ascii="Arial" w:eastAsia="等线" w:hAnsi="Arial" w:cs="Arial"/>
          <w:b/>
          <w:sz w:val="30"/>
        </w:rPr>
        <w:t>年表现与</w:t>
      </w:r>
      <w:r>
        <w:rPr>
          <w:rFonts w:ascii="Arial" w:eastAsia="等线" w:hAnsi="Arial" w:cs="Arial"/>
          <w:b/>
          <w:sz w:val="30"/>
        </w:rPr>
        <w:t xml:space="preserve"> 2026 </w:t>
      </w:r>
      <w:r>
        <w:rPr>
          <w:rFonts w:ascii="Arial" w:eastAsia="等线" w:hAnsi="Arial" w:cs="Arial"/>
          <w:b/>
          <w:sz w:val="30"/>
        </w:rPr>
        <w:t>年展望》（</w:t>
      </w:r>
      <w:r>
        <w:rPr>
          <w:rFonts w:ascii="Arial" w:eastAsia="等线" w:hAnsi="Arial" w:cs="Arial"/>
          <w:b/>
          <w:sz w:val="30"/>
        </w:rPr>
        <w:t xml:space="preserve">2026 </w:t>
      </w:r>
      <w:r>
        <w:rPr>
          <w:rFonts w:ascii="Arial" w:eastAsia="等线" w:hAnsi="Arial" w:cs="Arial"/>
          <w:b/>
          <w:sz w:val="30"/>
        </w:rPr>
        <w:t>年</w:t>
      </w:r>
      <w:r>
        <w:rPr>
          <w:rFonts w:ascii="Arial" w:eastAsia="等线" w:hAnsi="Arial" w:cs="Arial"/>
          <w:b/>
          <w:sz w:val="30"/>
        </w:rPr>
        <w:t xml:space="preserve"> 1 </w:t>
      </w:r>
      <w:r>
        <w:rPr>
          <w:rFonts w:ascii="Arial" w:eastAsia="等线" w:hAnsi="Arial" w:cs="Arial"/>
          <w:b/>
          <w:sz w:val="30"/>
        </w:rPr>
        <w:t>月）</w:t>
      </w:r>
      <w:bookmarkEnd w:id="4"/>
    </w:p>
    <w:p w14:paraId="212E9FDF" w14:textId="77777777" w:rsidR="00DB6763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AI </w:t>
      </w:r>
      <w:r>
        <w:rPr>
          <w:rFonts w:ascii="Arial" w:eastAsia="等线" w:hAnsi="Arial" w:cs="Arial"/>
          <w:b/>
        </w:rPr>
        <w:t>量价因子表现</w:t>
      </w:r>
      <w:r>
        <w:rPr>
          <w:rFonts w:ascii="Arial" w:eastAsia="等线" w:hAnsi="Arial" w:cs="Arial"/>
        </w:rPr>
        <w:t>：全频段融合因子</w:t>
      </w:r>
      <w:r>
        <w:rPr>
          <w:rFonts w:ascii="Arial" w:eastAsia="等线" w:hAnsi="Arial" w:cs="Arial"/>
        </w:rPr>
        <w:t xml:space="preserve"> 2025 </w:t>
      </w:r>
      <w:r>
        <w:rPr>
          <w:rFonts w:ascii="Arial" w:eastAsia="等线" w:hAnsi="Arial" w:cs="Arial"/>
        </w:rPr>
        <w:t>年多头超额</w:t>
      </w:r>
      <w:r>
        <w:rPr>
          <w:rFonts w:ascii="Arial" w:eastAsia="等线" w:hAnsi="Arial" w:cs="Arial"/>
        </w:rPr>
        <w:t xml:space="preserve"> 20.50%</w:t>
      </w:r>
      <w:r>
        <w:rPr>
          <w:rFonts w:ascii="Arial" w:eastAsia="等线" w:hAnsi="Arial" w:cs="Arial"/>
        </w:rPr>
        <w:t>，自</w:t>
      </w:r>
      <w:r>
        <w:rPr>
          <w:rFonts w:ascii="Arial" w:eastAsia="等线" w:hAnsi="Arial" w:cs="Arial"/>
        </w:rPr>
        <w:t xml:space="preserve"> 2017 </w:t>
      </w:r>
      <w:r>
        <w:rPr>
          <w:rFonts w:ascii="Arial" w:eastAsia="等线" w:hAnsi="Arial" w:cs="Arial"/>
        </w:rPr>
        <w:t>年以来年化超额</w:t>
      </w:r>
      <w:r>
        <w:rPr>
          <w:rFonts w:ascii="Arial" w:eastAsia="等线" w:hAnsi="Arial" w:cs="Arial"/>
        </w:rPr>
        <w:t xml:space="preserve"> 29.59%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5 </w:t>
      </w:r>
      <w:r>
        <w:rPr>
          <w:rFonts w:ascii="Arial" w:eastAsia="等线" w:hAnsi="Arial" w:cs="Arial"/>
        </w:rPr>
        <w:t>日</w:t>
      </w:r>
      <w:r>
        <w:rPr>
          <w:rFonts w:ascii="Arial" w:eastAsia="等线" w:hAnsi="Arial" w:cs="Arial"/>
        </w:rPr>
        <w:t xml:space="preserve"> RankIC </w:t>
      </w:r>
      <w:r>
        <w:rPr>
          <w:rFonts w:ascii="Arial" w:eastAsia="等线" w:hAnsi="Arial" w:cs="Arial"/>
        </w:rPr>
        <w:t>均值</w:t>
      </w:r>
      <w:r>
        <w:rPr>
          <w:rFonts w:ascii="Arial" w:eastAsia="等线" w:hAnsi="Arial" w:cs="Arial"/>
        </w:rPr>
        <w:t xml:space="preserve"> 0.115</w:t>
      </w:r>
    </w:p>
    <w:p w14:paraId="14B7FF3D" w14:textId="77777777" w:rsidR="00DB6763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LLM </w:t>
      </w:r>
      <w:r>
        <w:rPr>
          <w:rFonts w:ascii="Arial" w:eastAsia="等线" w:hAnsi="Arial" w:cs="Arial"/>
          <w:b/>
        </w:rPr>
        <w:t>情绪因子表现</w:t>
      </w:r>
      <w:r>
        <w:rPr>
          <w:rFonts w:ascii="Arial" w:eastAsia="等线" w:hAnsi="Arial" w:cs="Arial"/>
        </w:rPr>
        <w:t>：文本</w:t>
      </w:r>
      <w:r>
        <w:rPr>
          <w:rFonts w:ascii="Arial" w:eastAsia="等线" w:hAnsi="Arial" w:cs="Arial"/>
        </w:rPr>
        <w:t xml:space="preserve"> LLM-FADT </w:t>
      </w:r>
      <w:r>
        <w:rPr>
          <w:rFonts w:ascii="Arial" w:eastAsia="等线" w:hAnsi="Arial" w:cs="Arial"/>
        </w:rPr>
        <w:t>因子</w:t>
      </w:r>
      <w:r>
        <w:rPr>
          <w:rFonts w:ascii="Arial" w:eastAsia="等线" w:hAnsi="Arial" w:cs="Arial"/>
        </w:rPr>
        <w:t xml:space="preserve"> 2025 </w:t>
      </w:r>
      <w:r>
        <w:rPr>
          <w:rFonts w:ascii="Arial" w:eastAsia="等线" w:hAnsi="Arial" w:cs="Arial"/>
        </w:rPr>
        <w:t>年相对中证</w:t>
      </w:r>
      <w:r>
        <w:rPr>
          <w:rFonts w:ascii="Arial" w:eastAsia="等线" w:hAnsi="Arial" w:cs="Arial"/>
        </w:rPr>
        <w:t xml:space="preserve"> 500 </w:t>
      </w:r>
      <w:r>
        <w:rPr>
          <w:rFonts w:ascii="Arial" w:eastAsia="等线" w:hAnsi="Arial" w:cs="Arial"/>
        </w:rPr>
        <w:t>超额</w:t>
      </w:r>
      <w:r>
        <w:rPr>
          <w:rFonts w:ascii="Arial" w:eastAsia="等线" w:hAnsi="Arial" w:cs="Arial"/>
        </w:rPr>
        <w:t xml:space="preserve"> 2.3%</w:t>
      </w:r>
      <w:r>
        <w:rPr>
          <w:rFonts w:ascii="Arial" w:eastAsia="等线" w:hAnsi="Arial" w:cs="Arial"/>
        </w:rPr>
        <w:t>，在</w:t>
      </w:r>
      <w:r>
        <w:rPr>
          <w:rFonts w:ascii="Arial" w:eastAsia="等线" w:hAnsi="Arial" w:cs="Arial"/>
        </w:rPr>
        <w:t xml:space="preserve"> 2025 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月和</w:t>
      </w:r>
      <w:r>
        <w:rPr>
          <w:rFonts w:ascii="Arial" w:eastAsia="等线" w:hAnsi="Arial" w:cs="Arial"/>
        </w:rPr>
        <w:t xml:space="preserve"> 10 </w:t>
      </w:r>
      <w:r>
        <w:rPr>
          <w:rFonts w:ascii="Arial" w:eastAsia="等线" w:hAnsi="Arial" w:cs="Arial"/>
        </w:rPr>
        <w:t>月的市场拐点处超额收益分别达</w:t>
      </w:r>
      <w:r>
        <w:rPr>
          <w:rFonts w:ascii="Arial" w:eastAsia="等线" w:hAnsi="Arial" w:cs="Arial"/>
        </w:rPr>
        <w:t xml:space="preserve"> 4.1%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3.7%</w:t>
      </w:r>
    </w:p>
    <w:p w14:paraId="71C776BD" w14:textId="77777777" w:rsidR="00DB6763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对比结论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生成因子的有效性半衰期比人工因子长约</w:t>
      </w:r>
      <w:r>
        <w:rPr>
          <w:rFonts w:ascii="Arial" w:eastAsia="等线" w:hAnsi="Arial" w:cs="Arial"/>
        </w:rPr>
        <w:t xml:space="preserve"> 40%</w:t>
      </w:r>
      <w:r>
        <w:rPr>
          <w:rFonts w:ascii="Arial" w:eastAsia="等线" w:hAnsi="Arial" w:cs="Arial"/>
        </w:rPr>
        <w:t>，但过拟合风险更高</w:t>
      </w:r>
    </w:p>
    <w:p w14:paraId="0C23179D" w14:textId="77777777" w:rsidR="00DB6763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二、头部量化机构公开研究成果</w:t>
      </w:r>
      <w:bookmarkEnd w:id="5"/>
    </w:p>
    <w:p w14:paraId="394DABB1" w14:textId="77777777" w:rsidR="00DB6763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幻方量化《</w:t>
      </w:r>
      <w:r>
        <w:rPr>
          <w:rFonts w:ascii="Arial" w:eastAsia="等线" w:hAnsi="Arial" w:cs="Arial"/>
          <w:b/>
          <w:sz w:val="30"/>
        </w:rPr>
        <w:t xml:space="preserve">AI </w:t>
      </w:r>
      <w:r>
        <w:rPr>
          <w:rFonts w:ascii="Arial" w:eastAsia="等线" w:hAnsi="Arial" w:cs="Arial"/>
          <w:b/>
          <w:sz w:val="30"/>
        </w:rPr>
        <w:t>驱动的量化投资：从因子到端到端模型》（</w:t>
      </w:r>
      <w:r>
        <w:rPr>
          <w:rFonts w:ascii="Arial" w:eastAsia="等线" w:hAnsi="Arial" w:cs="Arial"/>
          <w:b/>
          <w:sz w:val="30"/>
        </w:rPr>
        <w:t xml:space="preserve">2025 </w:t>
      </w:r>
      <w:r>
        <w:rPr>
          <w:rFonts w:ascii="Arial" w:eastAsia="等线" w:hAnsi="Arial" w:cs="Arial"/>
          <w:b/>
          <w:sz w:val="30"/>
        </w:rPr>
        <w:t>年</w:t>
      </w:r>
      <w:r>
        <w:rPr>
          <w:rFonts w:ascii="Arial" w:eastAsia="等线" w:hAnsi="Arial" w:cs="Arial"/>
          <w:b/>
          <w:sz w:val="30"/>
        </w:rPr>
        <w:t xml:space="preserve"> 11 </w:t>
      </w:r>
      <w:r>
        <w:rPr>
          <w:rFonts w:ascii="Arial" w:eastAsia="等线" w:hAnsi="Arial" w:cs="Arial"/>
          <w:b/>
          <w:sz w:val="30"/>
        </w:rPr>
        <w:t>月）</w:t>
      </w:r>
      <w:bookmarkEnd w:id="6"/>
    </w:p>
    <w:p w14:paraId="73C06DFA" w14:textId="77777777" w:rsidR="00DB6763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因子库构成</w:t>
      </w:r>
      <w:r>
        <w:rPr>
          <w:rFonts w:ascii="Arial" w:eastAsia="等线" w:hAnsi="Arial" w:cs="Arial"/>
        </w:rPr>
        <w:t>：底层因子库包含</w:t>
      </w:r>
      <w:r>
        <w:rPr>
          <w:rFonts w:ascii="Arial" w:eastAsia="等线" w:hAnsi="Arial" w:cs="Arial"/>
        </w:rPr>
        <w:t xml:space="preserve"> 200 + </w:t>
      </w:r>
      <w:r>
        <w:rPr>
          <w:rFonts w:ascii="Arial" w:eastAsia="等线" w:hAnsi="Arial" w:cs="Arial"/>
        </w:rPr>
        <w:t>个基础因子，其中：</w:t>
      </w:r>
    </w:p>
    <w:p w14:paraId="3848175E" w14:textId="77777777" w:rsidR="00DB6763" w:rsidRDefault="00000000">
      <w:pPr>
        <w:numPr>
          <w:ilvl w:val="0"/>
          <w:numId w:val="1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基本面因子：</w:t>
      </w:r>
      <w:r>
        <w:rPr>
          <w:rFonts w:ascii="Arial" w:eastAsia="等线" w:hAnsi="Arial" w:cs="Arial"/>
        </w:rPr>
        <w:t xml:space="preserve">68 </w:t>
      </w:r>
      <w:r>
        <w:rPr>
          <w:rFonts w:ascii="Arial" w:eastAsia="等线" w:hAnsi="Arial" w:cs="Arial"/>
        </w:rPr>
        <w:t>个（占比</w:t>
      </w:r>
      <w:r>
        <w:rPr>
          <w:rFonts w:ascii="Arial" w:eastAsia="等线" w:hAnsi="Arial" w:cs="Arial"/>
        </w:rPr>
        <w:t xml:space="preserve"> 32%</w:t>
      </w:r>
      <w:r>
        <w:rPr>
          <w:rFonts w:ascii="Arial" w:eastAsia="等线" w:hAnsi="Arial" w:cs="Arial"/>
        </w:rPr>
        <w:t>）</w:t>
      </w:r>
    </w:p>
    <w:p w14:paraId="40B53B41" w14:textId="77777777" w:rsidR="00DB6763" w:rsidRDefault="00000000">
      <w:pPr>
        <w:numPr>
          <w:ilvl w:val="0"/>
          <w:numId w:val="1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量价因子：</w:t>
      </w:r>
      <w:r>
        <w:rPr>
          <w:rFonts w:ascii="Arial" w:eastAsia="等线" w:hAnsi="Arial" w:cs="Arial"/>
        </w:rPr>
        <w:t xml:space="preserve">92 </w:t>
      </w:r>
      <w:r>
        <w:rPr>
          <w:rFonts w:ascii="Arial" w:eastAsia="等线" w:hAnsi="Arial" w:cs="Arial"/>
        </w:rPr>
        <w:t>个（占比</w:t>
      </w:r>
      <w:r>
        <w:rPr>
          <w:rFonts w:ascii="Arial" w:eastAsia="等线" w:hAnsi="Arial" w:cs="Arial"/>
        </w:rPr>
        <w:t xml:space="preserve"> 44%</w:t>
      </w:r>
      <w:r>
        <w:rPr>
          <w:rFonts w:ascii="Arial" w:eastAsia="等线" w:hAnsi="Arial" w:cs="Arial"/>
        </w:rPr>
        <w:t>）</w:t>
      </w:r>
    </w:p>
    <w:p w14:paraId="03AEF8BF" w14:textId="77777777" w:rsidR="00DB6763" w:rsidRDefault="00000000">
      <w:pPr>
        <w:numPr>
          <w:ilvl w:val="0"/>
          <w:numId w:val="1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另类与情绪因子：</w:t>
      </w:r>
      <w:r>
        <w:rPr>
          <w:rFonts w:ascii="Arial" w:eastAsia="等线" w:hAnsi="Arial" w:cs="Arial"/>
        </w:rPr>
        <w:t xml:space="preserve">45 </w:t>
      </w:r>
      <w:r>
        <w:rPr>
          <w:rFonts w:ascii="Arial" w:eastAsia="等线" w:hAnsi="Arial" w:cs="Arial"/>
        </w:rPr>
        <w:t>个（占比</w:t>
      </w:r>
      <w:r>
        <w:rPr>
          <w:rFonts w:ascii="Arial" w:eastAsia="等线" w:hAnsi="Arial" w:cs="Arial"/>
        </w:rPr>
        <w:t xml:space="preserve"> 24%</w:t>
      </w:r>
      <w:r>
        <w:rPr>
          <w:rFonts w:ascii="Arial" w:eastAsia="等线" w:hAnsi="Arial" w:cs="Arial"/>
        </w:rPr>
        <w:t>）</w:t>
      </w:r>
    </w:p>
    <w:p w14:paraId="6A89597A" w14:textId="77777777" w:rsidR="00DB6763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AI </w:t>
      </w:r>
      <w:r>
        <w:rPr>
          <w:rFonts w:ascii="Arial" w:eastAsia="等线" w:hAnsi="Arial" w:cs="Arial"/>
          <w:b/>
        </w:rPr>
        <w:t>因子挖掘效率</w:t>
      </w:r>
      <w:r>
        <w:rPr>
          <w:rFonts w:ascii="Arial" w:eastAsia="等线" w:hAnsi="Arial" w:cs="Arial"/>
        </w:rPr>
        <w:t>：通过遗传算法和强化学习，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每天可生成超过</w:t>
      </w:r>
      <w:r>
        <w:rPr>
          <w:rFonts w:ascii="Arial" w:eastAsia="等线" w:hAnsi="Arial" w:cs="Arial"/>
        </w:rPr>
        <w:t xml:space="preserve"> 1000 </w:t>
      </w:r>
      <w:r>
        <w:rPr>
          <w:rFonts w:ascii="Arial" w:eastAsia="等线" w:hAnsi="Arial" w:cs="Arial"/>
        </w:rPr>
        <w:t>个候选因子，其中约</w:t>
      </w:r>
      <w:r>
        <w:rPr>
          <w:rFonts w:ascii="Arial" w:eastAsia="等线" w:hAnsi="Arial" w:cs="Arial"/>
        </w:rPr>
        <w:t xml:space="preserve"> 5% </w:t>
      </w:r>
      <w:r>
        <w:rPr>
          <w:rFonts w:ascii="Arial" w:eastAsia="等线" w:hAnsi="Arial" w:cs="Arial"/>
        </w:rPr>
        <w:t>通过样本外检验</w:t>
      </w:r>
    </w:p>
    <w:p w14:paraId="323A8FF6" w14:textId="77777777" w:rsidR="00DB6763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三类因子对比</w:t>
      </w:r>
      <w:r>
        <w:rPr>
          <w:rFonts w:ascii="Arial" w:eastAsia="等线" w:hAnsi="Arial" w:cs="Arial"/>
        </w:rPr>
        <w:t>：</w:t>
      </w:r>
    </w:p>
    <w:p w14:paraId="0BB1A6C3" w14:textId="77777777" w:rsidR="00DB6763" w:rsidRDefault="00000000">
      <w:pPr>
        <w:numPr>
          <w:ilvl w:val="0"/>
          <w:numId w:val="2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基本面因子：夏普比率</w:t>
      </w:r>
      <w:r>
        <w:rPr>
          <w:rFonts w:ascii="Arial" w:eastAsia="等线" w:hAnsi="Arial" w:cs="Arial"/>
        </w:rPr>
        <w:t xml:space="preserve"> 1.2-1.8</w:t>
      </w:r>
      <w:r>
        <w:rPr>
          <w:rFonts w:ascii="Arial" w:eastAsia="等线" w:hAnsi="Arial" w:cs="Arial"/>
        </w:rPr>
        <w:t>，容量</w:t>
      </w:r>
      <w:r>
        <w:rPr>
          <w:rFonts w:ascii="Arial" w:eastAsia="等线" w:hAnsi="Arial" w:cs="Arial"/>
        </w:rPr>
        <w:t xml:space="preserve"> 100 </w:t>
      </w:r>
      <w:r>
        <w:rPr>
          <w:rFonts w:ascii="Arial" w:eastAsia="等线" w:hAnsi="Arial" w:cs="Arial"/>
        </w:rPr>
        <w:t>亿</w:t>
      </w:r>
      <w:r>
        <w:rPr>
          <w:rFonts w:ascii="Arial" w:eastAsia="等线" w:hAnsi="Arial" w:cs="Arial"/>
        </w:rPr>
        <w:t xml:space="preserve"> +</w:t>
      </w:r>
    </w:p>
    <w:p w14:paraId="39574AE0" w14:textId="77777777" w:rsidR="00DB6763" w:rsidRDefault="00000000">
      <w:pPr>
        <w:numPr>
          <w:ilvl w:val="0"/>
          <w:numId w:val="2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量价因子：夏普比率</w:t>
      </w:r>
      <w:r>
        <w:rPr>
          <w:rFonts w:ascii="Arial" w:eastAsia="等线" w:hAnsi="Arial" w:cs="Arial"/>
        </w:rPr>
        <w:t xml:space="preserve"> 1.8-2.5</w:t>
      </w:r>
      <w:r>
        <w:rPr>
          <w:rFonts w:ascii="Arial" w:eastAsia="等线" w:hAnsi="Arial" w:cs="Arial"/>
        </w:rPr>
        <w:t>，容量</w:t>
      </w:r>
      <w:r>
        <w:rPr>
          <w:rFonts w:ascii="Arial" w:eastAsia="等线" w:hAnsi="Arial" w:cs="Arial"/>
        </w:rPr>
        <w:t xml:space="preserve"> 10-50 </w:t>
      </w:r>
      <w:r>
        <w:rPr>
          <w:rFonts w:ascii="Arial" w:eastAsia="等线" w:hAnsi="Arial" w:cs="Arial"/>
        </w:rPr>
        <w:t>亿</w:t>
      </w:r>
    </w:p>
    <w:p w14:paraId="64E04A84" w14:textId="77777777" w:rsidR="00DB6763" w:rsidRDefault="00000000">
      <w:pPr>
        <w:numPr>
          <w:ilvl w:val="0"/>
          <w:numId w:val="2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情绪因子：夏普比率</w:t>
      </w:r>
      <w:r>
        <w:rPr>
          <w:rFonts w:ascii="Arial" w:eastAsia="等线" w:hAnsi="Arial" w:cs="Arial"/>
        </w:rPr>
        <w:t xml:space="preserve"> 1.5-2.2</w:t>
      </w:r>
      <w:r>
        <w:rPr>
          <w:rFonts w:ascii="Arial" w:eastAsia="等线" w:hAnsi="Arial" w:cs="Arial"/>
        </w:rPr>
        <w:t>，容量</w:t>
      </w:r>
      <w:r>
        <w:rPr>
          <w:rFonts w:ascii="Arial" w:eastAsia="等线" w:hAnsi="Arial" w:cs="Arial"/>
        </w:rPr>
        <w:t xml:space="preserve"> 1-10 </w:t>
      </w:r>
      <w:r>
        <w:rPr>
          <w:rFonts w:ascii="Arial" w:eastAsia="等线" w:hAnsi="Arial" w:cs="Arial"/>
        </w:rPr>
        <w:t>亿</w:t>
      </w:r>
    </w:p>
    <w:p w14:paraId="0B978D50" w14:textId="77777777" w:rsidR="00DB6763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明汯投资《多因子模型的本土化演进与未来》（</w:t>
      </w:r>
      <w:r>
        <w:rPr>
          <w:rFonts w:ascii="Arial" w:eastAsia="等线" w:hAnsi="Arial" w:cs="Arial"/>
          <w:b/>
          <w:sz w:val="30"/>
        </w:rPr>
        <w:t xml:space="preserve">2025 </w:t>
      </w:r>
      <w:r>
        <w:rPr>
          <w:rFonts w:ascii="Arial" w:eastAsia="等线" w:hAnsi="Arial" w:cs="Arial"/>
          <w:b/>
          <w:sz w:val="30"/>
        </w:rPr>
        <w:t>年</w:t>
      </w:r>
      <w:r>
        <w:rPr>
          <w:rFonts w:ascii="Arial" w:eastAsia="等线" w:hAnsi="Arial" w:cs="Arial"/>
          <w:b/>
          <w:sz w:val="30"/>
        </w:rPr>
        <w:t xml:space="preserve"> 9 </w:t>
      </w:r>
      <w:r>
        <w:rPr>
          <w:rFonts w:ascii="Arial" w:eastAsia="等线" w:hAnsi="Arial" w:cs="Arial"/>
          <w:b/>
          <w:sz w:val="30"/>
        </w:rPr>
        <w:t>月）</w:t>
      </w:r>
      <w:bookmarkEnd w:id="7"/>
    </w:p>
    <w:p w14:paraId="5014E3FE" w14:textId="77777777" w:rsidR="00DB6763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A </w:t>
      </w:r>
      <w:r>
        <w:rPr>
          <w:rFonts w:ascii="Arial" w:eastAsia="等线" w:hAnsi="Arial" w:cs="Arial"/>
          <w:b/>
        </w:rPr>
        <w:t>股市场特性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A </w:t>
      </w:r>
      <w:r>
        <w:rPr>
          <w:rFonts w:ascii="Arial" w:eastAsia="等线" w:hAnsi="Arial" w:cs="Arial"/>
        </w:rPr>
        <w:t>股市场的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特质波动率异象</w:t>
      </w:r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反转效应</w:t>
      </w:r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显著强于美股，这使得量价因子在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股的有效性更高</w:t>
      </w:r>
    </w:p>
    <w:p w14:paraId="4C7B6E60" w14:textId="77777777" w:rsidR="00DB6763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因子衰减规律</w:t>
      </w:r>
      <w:r>
        <w:rPr>
          <w:rFonts w:ascii="Arial" w:eastAsia="等线" w:hAnsi="Arial" w:cs="Arial"/>
        </w:rPr>
        <w:t>：</w:t>
      </w:r>
    </w:p>
    <w:p w14:paraId="36463051" w14:textId="77777777" w:rsidR="00DB6763" w:rsidRDefault="00000000">
      <w:pPr>
        <w:numPr>
          <w:ilvl w:val="0"/>
          <w:numId w:val="2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简单量价因子：半衰期</w:t>
      </w:r>
      <w:r>
        <w:rPr>
          <w:rFonts w:ascii="Arial" w:eastAsia="等线" w:hAnsi="Arial" w:cs="Arial"/>
        </w:rPr>
        <w:t xml:space="preserve"> 3-6 </w:t>
      </w:r>
      <w:r>
        <w:rPr>
          <w:rFonts w:ascii="Arial" w:eastAsia="等线" w:hAnsi="Arial" w:cs="Arial"/>
        </w:rPr>
        <w:t>个月</w:t>
      </w:r>
    </w:p>
    <w:p w14:paraId="3DB86C4B" w14:textId="77777777" w:rsidR="00DB6763" w:rsidRDefault="00000000">
      <w:pPr>
        <w:numPr>
          <w:ilvl w:val="0"/>
          <w:numId w:val="2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复合量价因子：半衰期</w:t>
      </w:r>
      <w:r>
        <w:rPr>
          <w:rFonts w:ascii="Arial" w:eastAsia="等线" w:hAnsi="Arial" w:cs="Arial"/>
        </w:rPr>
        <w:t xml:space="preserve"> 6-12 </w:t>
      </w:r>
      <w:r>
        <w:rPr>
          <w:rFonts w:ascii="Arial" w:eastAsia="等线" w:hAnsi="Arial" w:cs="Arial"/>
        </w:rPr>
        <w:t>个月</w:t>
      </w:r>
    </w:p>
    <w:p w14:paraId="671F3D0E" w14:textId="77777777" w:rsidR="00DB6763" w:rsidRDefault="00000000">
      <w:pPr>
        <w:numPr>
          <w:ilvl w:val="0"/>
          <w:numId w:val="2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基本面因子：半衰期</w:t>
      </w:r>
      <w:r>
        <w:rPr>
          <w:rFonts w:ascii="Arial" w:eastAsia="等线" w:hAnsi="Arial" w:cs="Arial"/>
        </w:rPr>
        <w:t xml:space="preserve"> 1-3 </w:t>
      </w:r>
      <w:r>
        <w:rPr>
          <w:rFonts w:ascii="Arial" w:eastAsia="等线" w:hAnsi="Arial" w:cs="Arial"/>
        </w:rPr>
        <w:t>年</w:t>
      </w:r>
    </w:p>
    <w:p w14:paraId="34762AB0" w14:textId="77777777" w:rsidR="00DB6763" w:rsidRDefault="00000000">
      <w:pPr>
        <w:numPr>
          <w:ilvl w:val="0"/>
          <w:numId w:val="2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情绪因子：半衰期</w:t>
      </w:r>
      <w:r>
        <w:rPr>
          <w:rFonts w:ascii="Arial" w:eastAsia="等线" w:hAnsi="Arial" w:cs="Arial"/>
        </w:rPr>
        <w:t xml:space="preserve"> 1-6 </w:t>
      </w:r>
      <w:r>
        <w:rPr>
          <w:rFonts w:ascii="Arial" w:eastAsia="等线" w:hAnsi="Arial" w:cs="Arial"/>
        </w:rPr>
        <w:t>个月</w:t>
      </w:r>
    </w:p>
    <w:p w14:paraId="34506B4B" w14:textId="77777777" w:rsidR="00DB6763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建议</w:t>
      </w:r>
      <w:r>
        <w:rPr>
          <w:rFonts w:ascii="Arial" w:eastAsia="等线" w:hAnsi="Arial" w:cs="Arial"/>
        </w:rPr>
        <w:t>：在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股市场，应采用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基本面因子打底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量价因子增强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情绪因子择时</w:t>
      </w:r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的混合策略</w:t>
      </w:r>
    </w:p>
    <w:p w14:paraId="0C30EF6C" w14:textId="77777777" w:rsidR="00DB6763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九坤投资《因子拥挤度的量化与管理》（</w:t>
      </w:r>
      <w:r>
        <w:rPr>
          <w:rFonts w:ascii="Arial" w:eastAsia="等线" w:hAnsi="Arial" w:cs="Arial"/>
          <w:b/>
          <w:sz w:val="30"/>
        </w:rPr>
        <w:t xml:space="preserve">2025 </w:t>
      </w:r>
      <w:r>
        <w:rPr>
          <w:rFonts w:ascii="Arial" w:eastAsia="等线" w:hAnsi="Arial" w:cs="Arial"/>
          <w:b/>
          <w:sz w:val="30"/>
        </w:rPr>
        <w:t>年</w:t>
      </w:r>
      <w:r>
        <w:rPr>
          <w:rFonts w:ascii="Arial" w:eastAsia="等线" w:hAnsi="Arial" w:cs="Arial"/>
          <w:b/>
          <w:sz w:val="30"/>
        </w:rPr>
        <w:t xml:space="preserve"> 7 </w:t>
      </w:r>
      <w:r>
        <w:rPr>
          <w:rFonts w:ascii="Arial" w:eastAsia="等线" w:hAnsi="Arial" w:cs="Arial"/>
          <w:b/>
          <w:sz w:val="30"/>
        </w:rPr>
        <w:t>月）</w:t>
      </w:r>
      <w:bookmarkEnd w:id="8"/>
    </w:p>
    <w:p w14:paraId="4C5DA72C" w14:textId="77777777" w:rsidR="00DB6763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拥挤度指标</w:t>
      </w:r>
      <w:r>
        <w:rPr>
          <w:rFonts w:ascii="Arial" w:eastAsia="等线" w:hAnsi="Arial" w:cs="Arial"/>
        </w:rPr>
        <w:t>：基于成交量、波动率、持仓集中度和因子收益相关性构建四维拥挤度指标</w:t>
      </w:r>
    </w:p>
    <w:p w14:paraId="3FE331E1" w14:textId="77777777" w:rsidR="00DB6763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研究发现</w:t>
      </w:r>
      <w:r>
        <w:rPr>
          <w:rFonts w:ascii="Arial" w:eastAsia="等线" w:hAnsi="Arial" w:cs="Arial"/>
        </w:rPr>
        <w:t>：当因子拥挤度超过</w:t>
      </w:r>
      <w:r>
        <w:rPr>
          <w:rFonts w:ascii="Arial" w:eastAsia="等线" w:hAnsi="Arial" w:cs="Arial"/>
        </w:rPr>
        <w:t xml:space="preserve"> 80 </w:t>
      </w:r>
      <w:r>
        <w:rPr>
          <w:rFonts w:ascii="Arial" w:eastAsia="等线" w:hAnsi="Arial" w:cs="Arial"/>
        </w:rPr>
        <w:t>分位时，未来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个月该因子的平均超额收益为</w:t>
      </w:r>
      <w:r>
        <w:rPr>
          <w:rFonts w:ascii="Arial" w:eastAsia="等线" w:hAnsi="Arial" w:cs="Arial"/>
        </w:rPr>
        <w:t xml:space="preserve"> - 2.1%</w:t>
      </w:r>
    </w:p>
    <w:p w14:paraId="09FD57FD" w14:textId="77777777" w:rsidR="00DB6763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三类因子拥挤度对比</w:t>
      </w:r>
      <w:r>
        <w:rPr>
          <w:rFonts w:ascii="Arial" w:eastAsia="等线" w:hAnsi="Arial" w:cs="Arial"/>
        </w:rPr>
        <w:t>：</w:t>
      </w:r>
    </w:p>
    <w:p w14:paraId="572530D1" w14:textId="77777777" w:rsidR="00DB6763" w:rsidRDefault="00000000">
      <w:pPr>
        <w:numPr>
          <w:ilvl w:val="0"/>
          <w:numId w:val="3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量价因子：平均拥挤度</w:t>
      </w:r>
      <w:r>
        <w:rPr>
          <w:rFonts w:ascii="Arial" w:eastAsia="等线" w:hAnsi="Arial" w:cs="Arial"/>
        </w:rPr>
        <w:t xml:space="preserve"> 65 </w:t>
      </w:r>
      <w:r>
        <w:rPr>
          <w:rFonts w:ascii="Arial" w:eastAsia="等线" w:hAnsi="Arial" w:cs="Arial"/>
        </w:rPr>
        <w:t>分位，最高可达</w:t>
      </w:r>
      <w:r>
        <w:rPr>
          <w:rFonts w:ascii="Arial" w:eastAsia="等线" w:hAnsi="Arial" w:cs="Arial"/>
        </w:rPr>
        <w:t xml:space="preserve"> 95 </w:t>
      </w:r>
      <w:r>
        <w:rPr>
          <w:rFonts w:ascii="Arial" w:eastAsia="等线" w:hAnsi="Arial" w:cs="Arial"/>
        </w:rPr>
        <w:t>分位</w:t>
      </w:r>
    </w:p>
    <w:p w14:paraId="48CEACB3" w14:textId="77777777" w:rsidR="00DB6763" w:rsidRDefault="00000000">
      <w:pPr>
        <w:numPr>
          <w:ilvl w:val="0"/>
          <w:numId w:val="3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情绪因子：平均拥挤度</w:t>
      </w:r>
      <w:r>
        <w:rPr>
          <w:rFonts w:ascii="Arial" w:eastAsia="等线" w:hAnsi="Arial" w:cs="Arial"/>
        </w:rPr>
        <w:t xml:space="preserve"> 58 </w:t>
      </w:r>
      <w:r>
        <w:rPr>
          <w:rFonts w:ascii="Arial" w:eastAsia="等线" w:hAnsi="Arial" w:cs="Arial"/>
        </w:rPr>
        <w:t>分位</w:t>
      </w:r>
    </w:p>
    <w:p w14:paraId="3BC422A6" w14:textId="77777777" w:rsidR="00DB6763" w:rsidRDefault="00000000">
      <w:pPr>
        <w:numPr>
          <w:ilvl w:val="0"/>
          <w:numId w:val="3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基本面因子：平均拥挤度</w:t>
      </w:r>
      <w:r>
        <w:rPr>
          <w:rFonts w:ascii="Arial" w:eastAsia="等线" w:hAnsi="Arial" w:cs="Arial"/>
        </w:rPr>
        <w:t xml:space="preserve"> 32 </w:t>
      </w:r>
      <w:r>
        <w:rPr>
          <w:rFonts w:ascii="Arial" w:eastAsia="等线" w:hAnsi="Arial" w:cs="Arial"/>
        </w:rPr>
        <w:t>分位</w:t>
      </w:r>
    </w:p>
    <w:p w14:paraId="6E72090D" w14:textId="77777777" w:rsidR="00DB6763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>三、最新学术研究成果</w:t>
      </w:r>
      <w:bookmarkEnd w:id="9"/>
    </w:p>
    <w:p w14:paraId="27D23441" w14:textId="77777777" w:rsidR="00DB6763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《</w:t>
      </w:r>
      <w:r>
        <w:rPr>
          <w:rFonts w:ascii="Arial" w:eastAsia="等线" w:hAnsi="Arial" w:cs="Arial"/>
          <w:b/>
          <w:sz w:val="30"/>
        </w:rPr>
        <w:t>Stock Return Prediction with Financial and Textual Sentiment Factors: Evidence from the Chinese A-share Market</w:t>
      </w:r>
      <w:r>
        <w:rPr>
          <w:rFonts w:ascii="Arial" w:eastAsia="等线" w:hAnsi="Arial" w:cs="Arial"/>
          <w:b/>
          <w:sz w:val="30"/>
        </w:rPr>
        <w:t>》（</w:t>
      </w:r>
      <w:r>
        <w:rPr>
          <w:rFonts w:ascii="Arial" w:eastAsia="等线" w:hAnsi="Arial" w:cs="Arial"/>
          <w:b/>
          <w:sz w:val="30"/>
        </w:rPr>
        <w:t>Atlantis Press, 2026</w:t>
      </w:r>
      <w:r>
        <w:rPr>
          <w:rFonts w:ascii="Arial" w:eastAsia="等线" w:hAnsi="Arial" w:cs="Arial"/>
          <w:b/>
          <w:sz w:val="30"/>
        </w:rPr>
        <w:t>）</w:t>
      </w:r>
      <w:bookmarkEnd w:id="10"/>
    </w:p>
    <w:p w14:paraId="462B7742" w14:textId="77777777" w:rsidR="00DB6763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核心结论</w:t>
      </w:r>
      <w:r>
        <w:rPr>
          <w:rFonts w:ascii="Arial" w:eastAsia="等线" w:hAnsi="Arial" w:cs="Arial"/>
        </w:rPr>
        <w:t>：在控制了</w:t>
      </w:r>
      <w:r>
        <w:rPr>
          <w:rFonts w:ascii="Arial" w:eastAsia="等线" w:hAnsi="Arial" w:cs="Arial"/>
        </w:rPr>
        <w:t xml:space="preserve"> Fama-French </w:t>
      </w:r>
      <w:r>
        <w:rPr>
          <w:rFonts w:ascii="Arial" w:eastAsia="等线" w:hAnsi="Arial" w:cs="Arial"/>
        </w:rPr>
        <w:t>五因子后，文本情绪因子仍然具有显著的预测能力（</w:t>
      </w:r>
      <w:r>
        <w:rPr>
          <w:rFonts w:ascii="Arial" w:eastAsia="等线" w:hAnsi="Arial" w:cs="Arial"/>
        </w:rPr>
        <w:t>p&lt;0.01</w:t>
      </w:r>
      <w:r>
        <w:rPr>
          <w:rFonts w:ascii="Arial" w:eastAsia="等线" w:hAnsi="Arial" w:cs="Arial"/>
        </w:rPr>
        <w:t>）</w:t>
      </w:r>
    </w:p>
    <w:p w14:paraId="0C8AEA0F" w14:textId="77777777" w:rsidR="00DB6763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模型拟合度提升</w:t>
      </w:r>
      <w:r>
        <w:rPr>
          <w:rFonts w:ascii="Arial" w:eastAsia="等线" w:hAnsi="Arial" w:cs="Arial"/>
        </w:rPr>
        <w:t>：加入情绪因子后，模型的调整</w:t>
      </w:r>
      <w:r>
        <w:rPr>
          <w:rFonts w:ascii="Arial" w:eastAsia="等线" w:hAnsi="Arial" w:cs="Arial"/>
        </w:rPr>
        <w:t xml:space="preserve"> R² </w:t>
      </w: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0.18 </w:t>
      </w:r>
      <w:r>
        <w:rPr>
          <w:rFonts w:ascii="Arial" w:eastAsia="等线" w:hAnsi="Arial" w:cs="Arial"/>
        </w:rPr>
        <w:t>提升至</w:t>
      </w:r>
      <w:r>
        <w:rPr>
          <w:rFonts w:ascii="Arial" w:eastAsia="等线" w:hAnsi="Arial" w:cs="Arial"/>
        </w:rPr>
        <w:t xml:space="preserve"> 0.27</w:t>
      </w:r>
    </w:p>
    <w:p w14:paraId="4841F513" w14:textId="77777777" w:rsidR="00DB6763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经济意义</w:t>
      </w:r>
      <w:r>
        <w:rPr>
          <w:rFonts w:ascii="Arial" w:eastAsia="等线" w:hAnsi="Arial" w:cs="Arial"/>
        </w:rPr>
        <w:t>：情绪因子每增加一个标准差，下月超额收益平均增加</w:t>
      </w:r>
      <w:r>
        <w:rPr>
          <w:rFonts w:ascii="Arial" w:eastAsia="等线" w:hAnsi="Arial" w:cs="Arial"/>
        </w:rPr>
        <w:t xml:space="preserve"> 0.6%</w:t>
      </w:r>
    </w:p>
    <w:p w14:paraId="2563B983" w14:textId="77777777" w:rsidR="00DB6763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异质性分析</w:t>
      </w:r>
      <w:r>
        <w:rPr>
          <w:rFonts w:ascii="Arial" w:eastAsia="等线" w:hAnsi="Arial" w:cs="Arial"/>
        </w:rPr>
        <w:t>：情绪因子在小市值、高换手率和低分析师覆盖的股票中效果更显著</w:t>
      </w:r>
    </w:p>
    <w:p w14:paraId="7DD0A7BC" w14:textId="77777777" w:rsidR="00DB6763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《投资者情绪对我国</w:t>
      </w:r>
      <w:r>
        <w:rPr>
          <w:rFonts w:ascii="Arial" w:eastAsia="等线" w:hAnsi="Arial" w:cs="Arial"/>
          <w:b/>
          <w:sz w:val="30"/>
        </w:rPr>
        <w:t xml:space="preserve"> A </w:t>
      </w:r>
      <w:r>
        <w:rPr>
          <w:rFonts w:ascii="Arial" w:eastAsia="等线" w:hAnsi="Arial" w:cs="Arial"/>
          <w:b/>
          <w:sz w:val="30"/>
        </w:rPr>
        <w:t>股上市公司股票定价的影响研究</w:t>
      </w:r>
      <w:r>
        <w:rPr>
          <w:rFonts w:ascii="Arial" w:eastAsia="等线" w:hAnsi="Arial" w:cs="Arial"/>
          <w:b/>
          <w:sz w:val="30"/>
        </w:rPr>
        <w:t xml:space="preserve"> —— </w:t>
      </w:r>
      <w:r>
        <w:rPr>
          <w:rFonts w:ascii="Arial" w:eastAsia="等线" w:hAnsi="Arial" w:cs="Arial"/>
          <w:b/>
          <w:sz w:val="30"/>
        </w:rPr>
        <w:t>基于</w:t>
      </w:r>
      <w:r>
        <w:rPr>
          <w:rFonts w:ascii="Arial" w:eastAsia="等线" w:hAnsi="Arial" w:cs="Arial"/>
          <w:b/>
          <w:sz w:val="30"/>
        </w:rPr>
        <w:t xml:space="preserve"> Fama-French </w:t>
      </w:r>
      <w:r>
        <w:rPr>
          <w:rFonts w:ascii="Arial" w:eastAsia="等线" w:hAnsi="Arial" w:cs="Arial"/>
          <w:b/>
          <w:sz w:val="30"/>
        </w:rPr>
        <w:t>三因子模型》（汉斯期刊，</w:t>
      </w:r>
      <w:r>
        <w:rPr>
          <w:rFonts w:ascii="Arial" w:eastAsia="等线" w:hAnsi="Arial" w:cs="Arial"/>
          <w:b/>
          <w:sz w:val="30"/>
        </w:rPr>
        <w:t xml:space="preserve">2025 </w:t>
      </w:r>
      <w:r>
        <w:rPr>
          <w:rFonts w:ascii="Arial" w:eastAsia="等线" w:hAnsi="Arial" w:cs="Arial"/>
          <w:b/>
          <w:sz w:val="30"/>
        </w:rPr>
        <w:t>年</w:t>
      </w:r>
      <w:r>
        <w:rPr>
          <w:rFonts w:ascii="Arial" w:eastAsia="等线" w:hAnsi="Arial" w:cs="Arial"/>
          <w:b/>
          <w:sz w:val="30"/>
        </w:rPr>
        <w:t xml:space="preserve"> 6 </w:t>
      </w:r>
      <w:r>
        <w:rPr>
          <w:rFonts w:ascii="Arial" w:eastAsia="等线" w:hAnsi="Arial" w:cs="Arial"/>
          <w:b/>
          <w:sz w:val="30"/>
        </w:rPr>
        <w:t>月）</w:t>
      </w:r>
      <w:bookmarkEnd w:id="11"/>
    </w:p>
    <w:p w14:paraId="48BFCCA2" w14:textId="77777777" w:rsidR="00DB6763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研究方法</w:t>
      </w:r>
      <w:r>
        <w:rPr>
          <w:rFonts w:ascii="Arial" w:eastAsia="等线" w:hAnsi="Arial" w:cs="Arial"/>
        </w:rPr>
        <w:t>：使用</w:t>
      </w:r>
      <w:r>
        <w:rPr>
          <w:rFonts w:ascii="Arial" w:eastAsia="等线" w:hAnsi="Arial" w:cs="Arial"/>
        </w:rPr>
        <w:t xml:space="preserve"> 2010-2022 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股月度数据，构建包含情绪因子的四因子模型</w:t>
      </w:r>
    </w:p>
    <w:p w14:paraId="011A4E14" w14:textId="77777777" w:rsidR="00DB6763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实证结果</w:t>
      </w:r>
      <w:r>
        <w:rPr>
          <w:rFonts w:ascii="Arial" w:eastAsia="等线" w:hAnsi="Arial" w:cs="Arial"/>
        </w:rPr>
        <w:t>：四因子模型对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股收益的解释力显著高于三因子模型</w:t>
      </w:r>
    </w:p>
    <w:p w14:paraId="693205F8" w14:textId="77777777" w:rsidR="00DB6763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关键发现</w:t>
      </w:r>
      <w:r>
        <w:rPr>
          <w:rFonts w:ascii="Arial" w:eastAsia="等线" w:hAnsi="Arial" w:cs="Arial"/>
        </w:rPr>
        <w:t>：在情绪高涨期，市场对基本面信息的反应不足，对情绪信息的反应过度；在情绪低落期则相反</w:t>
      </w:r>
    </w:p>
    <w:p w14:paraId="3F1BD77B" w14:textId="77777777" w:rsidR="00DB6763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《中国</w:t>
      </w:r>
      <w:r>
        <w:rPr>
          <w:rFonts w:ascii="Arial" w:eastAsia="等线" w:hAnsi="Arial" w:cs="Arial"/>
          <w:b/>
          <w:sz w:val="30"/>
        </w:rPr>
        <w:t xml:space="preserve"> A </w:t>
      </w:r>
      <w:r>
        <w:rPr>
          <w:rFonts w:ascii="Arial" w:eastAsia="等线" w:hAnsi="Arial" w:cs="Arial"/>
          <w:b/>
          <w:sz w:val="30"/>
        </w:rPr>
        <w:t>股个股周度换手率与周度涨跌幅预测性关系研究报告》（</w:t>
      </w:r>
      <w:r>
        <w:rPr>
          <w:rFonts w:ascii="Arial" w:eastAsia="等线" w:hAnsi="Arial" w:cs="Arial"/>
          <w:b/>
          <w:sz w:val="30"/>
        </w:rPr>
        <w:t xml:space="preserve">RPubs, 2026 </w:t>
      </w:r>
      <w:r>
        <w:rPr>
          <w:rFonts w:ascii="Arial" w:eastAsia="等线" w:hAnsi="Arial" w:cs="Arial"/>
          <w:b/>
          <w:sz w:val="30"/>
        </w:rPr>
        <w:t>年</w:t>
      </w:r>
      <w:r>
        <w:rPr>
          <w:rFonts w:ascii="Arial" w:eastAsia="等线" w:hAnsi="Arial" w:cs="Arial"/>
          <w:b/>
          <w:sz w:val="30"/>
        </w:rPr>
        <w:t xml:space="preserve"> 4 </w:t>
      </w:r>
      <w:r>
        <w:rPr>
          <w:rFonts w:ascii="Arial" w:eastAsia="等线" w:hAnsi="Arial" w:cs="Arial"/>
          <w:b/>
          <w:sz w:val="30"/>
        </w:rPr>
        <w:t>月）</w:t>
      </w:r>
      <w:bookmarkEnd w:id="12"/>
    </w:p>
    <w:p w14:paraId="2A266D91" w14:textId="77777777" w:rsidR="00DB6763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换手率因子特性</w:t>
      </w:r>
      <w:r>
        <w:rPr>
          <w:rFonts w:ascii="Arial" w:eastAsia="等线" w:hAnsi="Arial" w:cs="Arial"/>
        </w:rPr>
        <w:t>：高换手率股票呈现更强的反转效应，低换手率股票呈现更强的动量效应</w:t>
      </w:r>
    </w:p>
    <w:p w14:paraId="1F460C06" w14:textId="77777777" w:rsidR="00DB6763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投资者情绪的调节作用</w:t>
      </w:r>
      <w:r>
        <w:rPr>
          <w:rFonts w:ascii="Arial" w:eastAsia="等线" w:hAnsi="Arial" w:cs="Arial"/>
        </w:rPr>
        <w:t>：当市场情绪高涨时，换手率因子的预测能力增强</w:t>
      </w:r>
      <w:r>
        <w:rPr>
          <w:rFonts w:ascii="Arial" w:eastAsia="等线" w:hAnsi="Arial" w:cs="Arial"/>
        </w:rPr>
        <w:t xml:space="preserve"> 30% </w:t>
      </w:r>
      <w:r>
        <w:rPr>
          <w:rFonts w:ascii="Arial" w:eastAsia="等线" w:hAnsi="Arial" w:cs="Arial"/>
        </w:rPr>
        <w:t>以上</w:t>
      </w:r>
    </w:p>
    <w:p w14:paraId="5D480C6F" w14:textId="77777777" w:rsidR="00DB6763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市值异质性</w:t>
      </w:r>
      <w:r>
        <w:rPr>
          <w:rFonts w:ascii="Arial" w:eastAsia="等线" w:hAnsi="Arial" w:cs="Arial"/>
        </w:rPr>
        <w:t>：换手率因子在中证</w:t>
      </w:r>
      <w:r>
        <w:rPr>
          <w:rFonts w:ascii="Arial" w:eastAsia="等线" w:hAnsi="Arial" w:cs="Arial"/>
        </w:rPr>
        <w:t xml:space="preserve"> 1000/2000 </w:t>
      </w:r>
      <w:r>
        <w:rPr>
          <w:rFonts w:ascii="Arial" w:eastAsia="等线" w:hAnsi="Arial" w:cs="Arial"/>
        </w:rPr>
        <w:t>成分股中的预测能力是沪深</w:t>
      </w:r>
      <w:r>
        <w:rPr>
          <w:rFonts w:ascii="Arial" w:eastAsia="等线" w:hAnsi="Arial" w:cs="Arial"/>
        </w:rPr>
        <w:t xml:space="preserve"> 300 </w:t>
      </w:r>
      <w:r>
        <w:rPr>
          <w:rFonts w:ascii="Arial" w:eastAsia="等线" w:hAnsi="Arial" w:cs="Arial"/>
        </w:rPr>
        <w:t>成分股的</w:t>
      </w:r>
      <w:r>
        <w:rPr>
          <w:rFonts w:ascii="Arial" w:eastAsia="等线" w:hAnsi="Arial" w:cs="Arial"/>
        </w:rPr>
        <w:t xml:space="preserve"> 2.3 </w:t>
      </w:r>
      <w:r>
        <w:rPr>
          <w:rFonts w:ascii="Arial" w:eastAsia="等线" w:hAnsi="Arial" w:cs="Arial"/>
        </w:rPr>
        <w:t>倍</w:t>
      </w:r>
    </w:p>
    <w:p w14:paraId="3011D864" w14:textId="77777777" w:rsidR="00DB6763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t>四、三类因子对比的核心研究共识</w:t>
      </w:r>
      <w:bookmarkEnd w:id="13"/>
    </w:p>
    <w:p w14:paraId="37A7348B" w14:textId="77777777" w:rsidR="00DB676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综合以上所有研究，学术界和业界对三类因子的对比已形成以下共识：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DB6763" w14:paraId="144384D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78586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共识点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A3507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基本面因子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13518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交易数据因子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EB49B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情绪面因子</w:t>
            </w:r>
          </w:p>
        </w:tc>
      </w:tr>
      <w:tr w:rsidR="00DB6763" w14:paraId="23F1174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AE59E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收益来源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7D83B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企业价值创造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F36C2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市场微观结构与资金博弈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49CD2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投资者非理性与预期差</w:t>
            </w:r>
          </w:p>
        </w:tc>
      </w:tr>
      <w:tr w:rsidR="00DB6763" w14:paraId="2E068FE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7DE34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长期有效性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46D0B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最强，不会轻易失效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83E73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中等，衰减最快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09A92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较弱，依赖市场环境</w:t>
            </w:r>
          </w:p>
        </w:tc>
      </w:tr>
      <w:tr w:rsidR="00DB6763" w14:paraId="0FD6188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A9775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短期爆发力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152DA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最弱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42587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最强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06598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</w:tr>
      <w:tr w:rsidR="00DB6763" w14:paraId="525F2DA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749F2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策略容量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C86C5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最大（百亿级）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AF817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中等（十亿级）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C5540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最小（亿级）</w:t>
            </w:r>
          </w:p>
        </w:tc>
      </w:tr>
      <w:tr w:rsidR="00DB6763" w14:paraId="6A898A3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69CF2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拥挤度风险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FC017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最低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8F378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最高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11683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</w:tr>
      <w:tr w:rsidR="00DB6763" w14:paraId="440CB2F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825AA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开发难度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9C1C0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中等（数据处理难）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AB82A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中等（计算量大）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82628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最高（</w:t>
            </w:r>
            <w:r>
              <w:rPr>
                <w:rFonts w:ascii="Arial" w:eastAsia="等线" w:hAnsi="Arial" w:cs="Arial"/>
              </w:rPr>
              <w:t xml:space="preserve">NLP </w:t>
            </w:r>
            <w:r>
              <w:rPr>
                <w:rFonts w:ascii="Arial" w:eastAsia="等线" w:hAnsi="Arial" w:cs="Arial"/>
              </w:rPr>
              <w:t>技术要求高）</w:t>
            </w:r>
          </w:p>
        </w:tc>
      </w:tr>
      <w:tr w:rsidR="00DB6763" w14:paraId="64915E7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A4688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可解释性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0ADF6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最强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EBF69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20187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最弱</w:t>
            </w:r>
          </w:p>
        </w:tc>
      </w:tr>
      <w:tr w:rsidR="00DB6763" w14:paraId="51CD8A5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23E45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极端行情表现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BAFA2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防御性最好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DE080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最差，易集体失效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A51B5" w14:textId="77777777" w:rsidR="00DB676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波动最大</w:t>
            </w:r>
          </w:p>
        </w:tc>
      </w:tr>
    </w:tbl>
    <w:p w14:paraId="5540C934" w14:textId="77777777" w:rsidR="00DB6763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>五、研究获取渠道推荐</w:t>
      </w:r>
      <w:bookmarkEnd w:id="14"/>
    </w:p>
    <w:p w14:paraId="3173A011" w14:textId="77777777" w:rsidR="00DB6763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券商研报平台</w:t>
      </w:r>
      <w:r>
        <w:rPr>
          <w:rFonts w:ascii="Arial" w:eastAsia="等线" w:hAnsi="Arial" w:cs="Arial"/>
        </w:rPr>
        <w:t>：慧博投研资讯、</w:t>
      </w:r>
      <w:r>
        <w:rPr>
          <w:rFonts w:ascii="Arial" w:eastAsia="等线" w:hAnsi="Arial" w:cs="Arial"/>
        </w:rPr>
        <w:t xml:space="preserve">Wind </w:t>
      </w:r>
      <w:r>
        <w:rPr>
          <w:rFonts w:ascii="Arial" w:eastAsia="等线" w:hAnsi="Arial" w:cs="Arial"/>
        </w:rPr>
        <w:t>金融终端、朝阳永续</w:t>
      </w:r>
    </w:p>
    <w:p w14:paraId="3BD06D4A" w14:textId="77777777" w:rsidR="00DB6763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学术数据库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CNKI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Web of Science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SSRN</w:t>
      </w:r>
    </w:p>
    <w:p w14:paraId="45FD83CD" w14:textId="77777777" w:rsidR="00DB6763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行业报告</w:t>
      </w:r>
      <w:r>
        <w:rPr>
          <w:rFonts w:ascii="Arial" w:eastAsia="等线" w:hAnsi="Arial" w:cs="Arial"/>
        </w:rPr>
        <w:t>：中国证券投资基金业协会官网、私募排排网</w:t>
      </w:r>
    </w:p>
    <w:p w14:paraId="29B63A19" w14:textId="77777777" w:rsidR="00DB6763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头部机构官网</w:t>
      </w:r>
      <w:r>
        <w:rPr>
          <w:rFonts w:ascii="Arial" w:eastAsia="等线" w:hAnsi="Arial" w:cs="Arial"/>
        </w:rPr>
        <w:t>：幻方量化、九坤投资、明汯投资等均会发布部分研究成果</w:t>
      </w:r>
    </w:p>
    <w:p w14:paraId="4EDF96C4" w14:textId="77777777" w:rsidR="00DB676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需要我帮你下载其中</w:t>
      </w:r>
      <w:r>
        <w:rPr>
          <w:rFonts w:ascii="Arial" w:eastAsia="等线" w:hAnsi="Arial" w:cs="Arial"/>
          <w:b/>
        </w:rPr>
        <w:t>某几篇核心研报或论文</w:t>
      </w:r>
      <w:r>
        <w:rPr>
          <w:rFonts w:ascii="Arial" w:eastAsia="等线" w:hAnsi="Arial" w:cs="Arial"/>
        </w:rPr>
        <w:t>的全文，或者整理一份</w:t>
      </w:r>
      <w:r>
        <w:rPr>
          <w:rFonts w:ascii="Arial" w:eastAsia="等线" w:hAnsi="Arial" w:cs="Arial"/>
          <w:b/>
        </w:rPr>
        <w:t>按因子类别分类的参考文献列表</w:t>
      </w:r>
      <w:r>
        <w:rPr>
          <w:rFonts w:ascii="Arial" w:eastAsia="等线" w:hAnsi="Arial" w:cs="Arial"/>
        </w:rPr>
        <w:t>吗？</w:t>
      </w:r>
    </w:p>
    <w:p w14:paraId="72A7B431" w14:textId="77777777" w:rsidR="00DB676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DB6763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5764F" w14:textId="77777777" w:rsidR="00941AAC" w:rsidRDefault="00941AA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82A5E6" w14:textId="77777777" w:rsidR="00941AAC" w:rsidRDefault="00941AA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4ADEE" w14:textId="77777777" w:rsidR="00941AAC" w:rsidRDefault="00941AA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DE65FE" w14:textId="77777777" w:rsidR="00941AAC" w:rsidRDefault="00941AA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E85"/>
    <w:multiLevelType w:val="multilevel"/>
    <w:tmpl w:val="9C04E7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6A0BE1"/>
    <w:multiLevelType w:val="multilevel"/>
    <w:tmpl w:val="DF58CA7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796E5B"/>
    <w:multiLevelType w:val="multilevel"/>
    <w:tmpl w:val="BF32560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3E93FEE"/>
    <w:multiLevelType w:val="multilevel"/>
    <w:tmpl w:val="86ECA56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ABC7180"/>
    <w:multiLevelType w:val="multilevel"/>
    <w:tmpl w:val="F4342A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A43F4E"/>
    <w:multiLevelType w:val="multilevel"/>
    <w:tmpl w:val="82F8D7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C2879BF"/>
    <w:multiLevelType w:val="multilevel"/>
    <w:tmpl w:val="AA505F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0ED1157"/>
    <w:multiLevelType w:val="multilevel"/>
    <w:tmpl w:val="F58828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544033"/>
    <w:multiLevelType w:val="multilevel"/>
    <w:tmpl w:val="2D6251D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9307035"/>
    <w:multiLevelType w:val="multilevel"/>
    <w:tmpl w:val="C47204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9C604C5"/>
    <w:multiLevelType w:val="multilevel"/>
    <w:tmpl w:val="71F66D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7017845"/>
    <w:multiLevelType w:val="multilevel"/>
    <w:tmpl w:val="795E6CB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7C26487"/>
    <w:multiLevelType w:val="multilevel"/>
    <w:tmpl w:val="91226D5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A023BF6"/>
    <w:multiLevelType w:val="multilevel"/>
    <w:tmpl w:val="305CBE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CAA22E2"/>
    <w:multiLevelType w:val="multilevel"/>
    <w:tmpl w:val="035C3A2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D2E6E98"/>
    <w:multiLevelType w:val="multilevel"/>
    <w:tmpl w:val="FB28F1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E907730"/>
    <w:multiLevelType w:val="multilevel"/>
    <w:tmpl w:val="6C42C3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2367CE6"/>
    <w:multiLevelType w:val="multilevel"/>
    <w:tmpl w:val="C1CA1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A9E090C"/>
    <w:multiLevelType w:val="multilevel"/>
    <w:tmpl w:val="9BE41F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BD81B40"/>
    <w:multiLevelType w:val="multilevel"/>
    <w:tmpl w:val="1B6AFC3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D675E09"/>
    <w:multiLevelType w:val="multilevel"/>
    <w:tmpl w:val="A2B696B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DEF42E1"/>
    <w:multiLevelType w:val="multilevel"/>
    <w:tmpl w:val="F9EA3A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F141F3D"/>
    <w:multiLevelType w:val="multilevel"/>
    <w:tmpl w:val="44BC76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128553B"/>
    <w:multiLevelType w:val="multilevel"/>
    <w:tmpl w:val="FC24B9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1A46239"/>
    <w:multiLevelType w:val="multilevel"/>
    <w:tmpl w:val="FF16A8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20F6CA7"/>
    <w:multiLevelType w:val="multilevel"/>
    <w:tmpl w:val="23C82D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51A3947"/>
    <w:multiLevelType w:val="multilevel"/>
    <w:tmpl w:val="0A98EF3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6195D49"/>
    <w:multiLevelType w:val="multilevel"/>
    <w:tmpl w:val="E802127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64E5F4F"/>
    <w:multiLevelType w:val="multilevel"/>
    <w:tmpl w:val="4F9ECE5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3A41325"/>
    <w:multiLevelType w:val="multilevel"/>
    <w:tmpl w:val="4E52348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41311B8"/>
    <w:multiLevelType w:val="multilevel"/>
    <w:tmpl w:val="E4B22F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78E3043"/>
    <w:multiLevelType w:val="multilevel"/>
    <w:tmpl w:val="68C83F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9C46FD5"/>
    <w:multiLevelType w:val="multilevel"/>
    <w:tmpl w:val="0534D8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B6165CF"/>
    <w:multiLevelType w:val="multilevel"/>
    <w:tmpl w:val="0180CF4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B6202AD"/>
    <w:multiLevelType w:val="multilevel"/>
    <w:tmpl w:val="B256262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E5E07BF"/>
    <w:multiLevelType w:val="multilevel"/>
    <w:tmpl w:val="DA0A40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3283237"/>
    <w:multiLevelType w:val="multilevel"/>
    <w:tmpl w:val="342835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A0D38B6"/>
    <w:multiLevelType w:val="multilevel"/>
    <w:tmpl w:val="99A60E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BD509FA"/>
    <w:multiLevelType w:val="multilevel"/>
    <w:tmpl w:val="EF6A531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ED93F8D"/>
    <w:multiLevelType w:val="multilevel"/>
    <w:tmpl w:val="AA54D1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0C342FA"/>
    <w:multiLevelType w:val="multilevel"/>
    <w:tmpl w:val="515CC2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118693B"/>
    <w:multiLevelType w:val="multilevel"/>
    <w:tmpl w:val="B502BF9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40E7E4A"/>
    <w:multiLevelType w:val="multilevel"/>
    <w:tmpl w:val="52F2678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5F349D3"/>
    <w:multiLevelType w:val="multilevel"/>
    <w:tmpl w:val="E6863A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78B53D5"/>
    <w:multiLevelType w:val="multilevel"/>
    <w:tmpl w:val="9F2846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C151680"/>
    <w:multiLevelType w:val="multilevel"/>
    <w:tmpl w:val="D940126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C534584"/>
    <w:multiLevelType w:val="multilevel"/>
    <w:tmpl w:val="3EB616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D41004C"/>
    <w:multiLevelType w:val="multilevel"/>
    <w:tmpl w:val="452C067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E1423B5"/>
    <w:multiLevelType w:val="multilevel"/>
    <w:tmpl w:val="07802D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23936379">
    <w:abstractNumId w:val="39"/>
  </w:num>
  <w:num w:numId="2" w16cid:durableId="2038041311">
    <w:abstractNumId w:val="44"/>
  </w:num>
  <w:num w:numId="3" w16cid:durableId="698815386">
    <w:abstractNumId w:val="19"/>
  </w:num>
  <w:num w:numId="4" w16cid:durableId="1090933131">
    <w:abstractNumId w:val="29"/>
  </w:num>
  <w:num w:numId="5" w16cid:durableId="856382075">
    <w:abstractNumId w:val="45"/>
  </w:num>
  <w:num w:numId="6" w16cid:durableId="2073890915">
    <w:abstractNumId w:val="9"/>
  </w:num>
  <w:num w:numId="7" w16cid:durableId="339702907">
    <w:abstractNumId w:val="40"/>
  </w:num>
  <w:num w:numId="8" w16cid:durableId="689181605">
    <w:abstractNumId w:val="16"/>
  </w:num>
  <w:num w:numId="9" w16cid:durableId="2064131506">
    <w:abstractNumId w:val="47"/>
  </w:num>
  <w:num w:numId="10" w16cid:durableId="1078290552">
    <w:abstractNumId w:val="15"/>
  </w:num>
  <w:num w:numId="11" w16cid:durableId="2132286825">
    <w:abstractNumId w:val="18"/>
  </w:num>
  <w:num w:numId="12" w16cid:durableId="2079015713">
    <w:abstractNumId w:val="35"/>
  </w:num>
  <w:num w:numId="13" w16cid:durableId="422341295">
    <w:abstractNumId w:val="31"/>
  </w:num>
  <w:num w:numId="14" w16cid:durableId="475995434">
    <w:abstractNumId w:val="10"/>
  </w:num>
  <w:num w:numId="15" w16cid:durableId="810749960">
    <w:abstractNumId w:val="2"/>
  </w:num>
  <w:num w:numId="16" w16cid:durableId="400753132">
    <w:abstractNumId w:val="28"/>
  </w:num>
  <w:num w:numId="17" w16cid:durableId="450708739">
    <w:abstractNumId w:val="38"/>
  </w:num>
  <w:num w:numId="18" w16cid:durableId="1533416325">
    <w:abstractNumId w:val="24"/>
  </w:num>
  <w:num w:numId="19" w16cid:durableId="733282304">
    <w:abstractNumId w:val="23"/>
  </w:num>
  <w:num w:numId="20" w16cid:durableId="1623875821">
    <w:abstractNumId w:val="3"/>
  </w:num>
  <w:num w:numId="21" w16cid:durableId="2041977990">
    <w:abstractNumId w:val="11"/>
  </w:num>
  <w:num w:numId="22" w16cid:durableId="1790850859">
    <w:abstractNumId w:val="26"/>
  </w:num>
  <w:num w:numId="23" w16cid:durableId="1946108820">
    <w:abstractNumId w:val="17"/>
  </w:num>
  <w:num w:numId="24" w16cid:durableId="1847481925">
    <w:abstractNumId w:val="30"/>
  </w:num>
  <w:num w:numId="25" w16cid:durableId="648679812">
    <w:abstractNumId w:val="34"/>
  </w:num>
  <w:num w:numId="26" w16cid:durableId="1812014096">
    <w:abstractNumId w:val="12"/>
  </w:num>
  <w:num w:numId="27" w16cid:durableId="1731809133">
    <w:abstractNumId w:val="36"/>
  </w:num>
  <w:num w:numId="28" w16cid:durableId="1487865331">
    <w:abstractNumId w:val="20"/>
  </w:num>
  <w:num w:numId="29" w16cid:durableId="1706061476">
    <w:abstractNumId w:val="32"/>
  </w:num>
  <w:num w:numId="30" w16cid:durableId="1441143093">
    <w:abstractNumId w:val="7"/>
  </w:num>
  <w:num w:numId="31" w16cid:durableId="21830475">
    <w:abstractNumId w:val="5"/>
  </w:num>
  <w:num w:numId="32" w16cid:durableId="1218515495">
    <w:abstractNumId w:val="25"/>
  </w:num>
  <w:num w:numId="33" w16cid:durableId="510067164">
    <w:abstractNumId w:val="42"/>
  </w:num>
  <w:num w:numId="34" w16cid:durableId="2065174009">
    <w:abstractNumId w:val="33"/>
  </w:num>
  <w:num w:numId="35" w16cid:durableId="1424228675">
    <w:abstractNumId w:val="14"/>
  </w:num>
  <w:num w:numId="36" w16cid:durableId="1836845546">
    <w:abstractNumId w:val="46"/>
  </w:num>
  <w:num w:numId="37" w16cid:durableId="2089762018">
    <w:abstractNumId w:val="22"/>
  </w:num>
  <w:num w:numId="38" w16cid:durableId="91827288">
    <w:abstractNumId w:val="48"/>
  </w:num>
  <w:num w:numId="39" w16cid:durableId="2016220990">
    <w:abstractNumId w:val="13"/>
  </w:num>
  <w:num w:numId="40" w16cid:durableId="1262031445">
    <w:abstractNumId w:val="6"/>
  </w:num>
  <w:num w:numId="41" w16cid:durableId="1973095071">
    <w:abstractNumId w:val="43"/>
  </w:num>
  <w:num w:numId="42" w16cid:durableId="1742436440">
    <w:abstractNumId w:val="4"/>
  </w:num>
  <w:num w:numId="43" w16cid:durableId="1135178854">
    <w:abstractNumId w:val="21"/>
  </w:num>
  <w:num w:numId="44" w16cid:durableId="1605721553">
    <w:abstractNumId w:val="0"/>
  </w:num>
  <w:num w:numId="45" w16cid:durableId="1174297240">
    <w:abstractNumId w:val="37"/>
  </w:num>
  <w:num w:numId="46" w16cid:durableId="2018802712">
    <w:abstractNumId w:val="27"/>
  </w:num>
  <w:num w:numId="47" w16cid:durableId="1115440259">
    <w:abstractNumId w:val="1"/>
  </w:num>
  <w:num w:numId="48" w16cid:durableId="1326318189">
    <w:abstractNumId w:val="8"/>
  </w:num>
  <w:num w:numId="49" w16cid:durableId="165101418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763"/>
    <w:rsid w:val="0004064D"/>
    <w:rsid w:val="004E1BEE"/>
    <w:rsid w:val="00941AAC"/>
    <w:rsid w:val="00DB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3F3277"/>
  <w15:docId w15:val="{EB9A49D8-0EF1-4E39-8E9F-DFDF6E32C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E1B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E1B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E1B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E1B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1328</Words>
  <Characters>1621</Characters>
  <Application>Microsoft Office Word</Application>
  <DocSecurity>0</DocSecurity>
  <Lines>90</Lines>
  <Paragraphs>113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Johnny Zhang</cp:lastModifiedBy>
  <cp:revision>2</cp:revision>
  <dcterms:created xsi:type="dcterms:W3CDTF">2026-04-21T02:58:00Z</dcterms:created>
  <dcterms:modified xsi:type="dcterms:W3CDTF">2026-04-21T02:58:00Z</dcterms:modified>
</cp:coreProperties>
</file>