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b/>
          <w:bCs/>
          <w:color w:val="1F4E5C"/>
          <w:sz w:val="44"/>
          <w:szCs w:val="44"/>
        </w:rPr>
        <w:t xml:space="preserve">EXECUTIVE BRIEFING &amp; BUSINESS INSIGHTS</w:t>
      </w:r>
    </w:p>
    <w:p>
      <w:pPr>
        <w:spacing w:after="60"/>
      </w:pPr>
      <w:r>
        <w:rPr>
          <w:color w:val="444444"/>
          <w:sz w:val="26"/>
          <w:szCs w:val="26"/>
        </w:rPr>
        <w:t xml:space="preserve">Agricultural Production Drivers Analysis — Project 7</w:t>
      </w:r>
    </w:p>
    <w:p>
      <w:pPr>
        <w:spacing w:after="40"/>
      </w:pPr>
      <w:r>
        <w:rPr>
          <w:i/>
          <w:iCs/>
          <w:color w:val="5A5A5A"/>
          <w:sz w:val="20"/>
          <w:szCs w:val="20"/>
        </w:rPr>
        <w:t xml:space="preserve">Prepared by: John O. Ezekiel   ·   Dataset: 3,000 farm observations   ·   Status: Analysis Corrected &amp; Reviewed — Data Provenance Pending</w:t>
      </w:r>
    </w:p>
    <w:p>
      <w:r>
        <w:br w:type="page"/>
      </w:r>
    </w:p>
    <w:p>
      <w:pPr>
        <w:pStyle w:val="Heading1"/>
        <w:pBdr>
          <w:bottom w:val="single" w:color="1F4E5C" w:sz="6"/>
        </w:pBdr>
        <w:spacing w:after="160" w:before="320"/>
      </w:pPr>
      <w:r>
        <w:rPr>
          <w:b/>
          <w:bCs/>
          <w:color w:val="1F4E5C"/>
          <w:sz w:val="28"/>
          <w:szCs w:val="28"/>
        </w:rPr>
        <w:t xml:space="preserve">1. Purpose of This Briefing</w:t>
      </w:r>
    </w:p>
    <w:p>
      <w:pPr>
        <w:spacing w:after="120"/>
      </w:pPr>
      <w:r>
        <w:rPr>
          <w:sz w:val="22"/>
          <w:szCs w:val="22"/>
        </w:rPr>
        <w:t xml:space="preserve">This briefing summarizes what the data shows about the drivers of agricultural output across 3,000 farm holdings, and what a decision-maker — an investor, a cooperative manager, or a policy planner — can and cannot conclude from it. It also documents a material correction made during the project, because the correction changes what can be safely claimed.</w:t>
      </w:r>
    </w:p>
    <w:p>
      <w:pPr>
        <w:pStyle w:val="Heading1"/>
        <w:pBdr>
          <w:bottom w:val="single" w:color="1F4E5C" w:sz="6"/>
        </w:pBdr>
        <w:spacing w:after="160" w:before="320"/>
      </w:pPr>
      <w:r>
        <w:rPr>
          <w:b/>
          <w:bCs/>
          <w:color w:val="1F4E5C"/>
          <w:sz w:val="28"/>
          <w:szCs w:val="28"/>
        </w:rPr>
        <w:t xml:space="preserve">2. Business Question</w:t>
      </w:r>
    </w:p>
    <w:p>
      <w:pPr>
        <w:spacing w:after="120"/>
      </w:pPr>
      <w:r>
        <w:rPr>
          <w:sz w:val="22"/>
          <w:szCs w:val="22"/>
        </w:rPr>
        <w:t xml:space="preserve">Which environmental and operational factors — farm size, fertilizer use, rainfall, soil quality, and sunlight exposure — are most strongly associated with total crop output in this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On the word "predict"</w:t>
            </w:r>
          </w:p>
          <w:p>
            <w:r>
              <w:rPr>
                <w:sz w:val="20"/>
                <w:szCs w:val="20"/>
              </w:rPr>
              <w:t xml:space="preserve">This analysis explains relationships within the observed 3,000-farm dataset. No holdout sample, train/test split, or cross-validation was performed, so the R² reported below measures how well the model fits the data it was built on — not demonstrated accuracy on new, unseen farms. Treat the findings as explanatory, not as a validated forecasting tool, until out-of-sample testing is done.</w:t>
            </w:r>
          </w:p>
        </w:tc>
      </w:tr>
    </w:tbl>
    <w:p>
      <w:pPr>
        <w:spacing w:after="120"/>
      </w:pPr>
    </w:p>
    <w:p>
      <w:pPr>
        <w:pStyle w:val="Heading1"/>
        <w:pBdr>
          <w:bottom w:val="single" w:color="1F4E5C" w:sz="6"/>
        </w:pBdr>
        <w:spacing w:after="160" w:before="320"/>
      </w:pPr>
      <w:r>
        <w:rPr>
          <w:b/>
          <w:bCs/>
          <w:color w:val="1F4E5C"/>
          <w:sz w:val="28"/>
          <w:szCs w:val="28"/>
        </w:rPr>
        <w:t xml:space="preserve">3. Headline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In one line</w:t>
            </w:r>
          </w:p>
          <w:p>
            <w:r>
              <w:rPr>
                <w:sz w:val="20"/>
                <w:szCs w:val="20"/>
              </w:rPr>
              <w:t xml:space="preserve">Farm size is overwhelmingly the dominant factor associated with total output. Soil quality, sunlight, rainfall, and fertilizer are all positively associated but to a modest degree. Together, the five factors explain total output in this dataset with near-total precision (R² = 0.999996) — an unusually clean result, addressed in Section 6.</w:t>
            </w:r>
          </w:p>
        </w:tc>
      </w:tr>
    </w:tbl>
    <w:p>
      <w:pPr>
        <w:spacing w:after="120"/>
      </w:pPr>
    </w:p>
    <w:p>
      <w:pPr>
        <w:pStyle w:val="Heading1"/>
        <w:pBdr>
          <w:bottom w:val="single" w:color="1F4E5C" w:sz="6"/>
        </w:pBdr>
        <w:spacing w:after="160" w:before="320"/>
      </w:pPr>
      <w:r>
        <w:rPr>
          <w:b/>
          <w:bCs/>
          <w:color w:val="1F4E5C"/>
          <w:sz w:val="28"/>
          <w:szCs w:val="28"/>
        </w:rPr>
        <w:t xml:space="preserve">4. What the Data Shows</w:t>
      </w:r>
    </w:p>
    <w:p>
      <w:pPr>
        <w:pStyle w:val="Heading2"/>
        <w:spacing w:after="100" w:before="220"/>
      </w:pPr>
      <w:r>
        <w:rPr>
          <w:b/>
          <w:bCs/>
          <w:color w:val="222222"/>
          <w:sz w:val="24"/>
          <w:szCs w:val="24"/>
        </w:rPr>
        <w:t xml:space="preserve">4.1 Farm size is the primary lever</w:t>
      </w:r>
    </w:p>
    <w:p>
      <w:pPr>
        <w:spacing w:after="120"/>
      </w:pPr>
      <w:r>
        <w:rPr>
          <w:sz w:val="22"/>
          <w:szCs w:val="22"/>
        </w:rPr>
        <w:t xml:space="preserve">Farm size (hectares) correlates with total crop output at r = 0.989 — the strongest relationship in the dataset by a wide margin. Each additional hectare is associated with approximately 0.50 additional units of output, holding other factors constant.</w:t>
      </w:r>
    </w:p>
    <w:p>
      <w:pPr>
        <w:pStyle w:val="Heading2"/>
        <w:spacing w:after="100" w:before="220"/>
      </w:pPr>
      <w:r>
        <w:rPr>
          <w:b/>
          <w:bCs/>
          <w:color w:val="222222"/>
          <w:sz w:val="24"/>
          <w:szCs w:val="24"/>
        </w:rPr>
        <w:t xml:space="preserve">4.2 Input factors, ranked by estimated per-unit effect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Before reading this table</w:t>
            </w:r>
          </w:p>
          <w:p>
            <w:r>
              <w:rPr>
                <w:sz w:val="20"/>
                <w:szCs w:val="20"/>
              </w:rPr>
              <w:t xml:space="preserve">The figures below are estimated associations from a regression on observational data — not results from a controlled agronomic trial. They are a starting point for further testing, not a validated dose-response recommendation.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shd w:fill="1F4E5C" w:val="clear"/>
            <w:tcMar>
              <w:top w:type="dxa" w:w="80"/>
              <w:left w:type="dxa" w:w="100"/>
              <w:bottom w:type="dxa" w:w="80"/>
              <w:right w:type="dxa" w:w="100"/>
            </w:tcMar>
            <w:vAlign w:val="center"/>
          </w:tcPr>
          <w:p>
            <w:r>
              <w:rPr>
                <w:b/>
                <w:bCs/>
                <w:color w:val="FFFFFF"/>
                <w:sz w:val="19"/>
                <w:szCs w:val="19"/>
              </w:rPr>
              <w:t xml:space="preserve">Factor</w:t>
            </w:r>
          </w:p>
        </w:tc>
        <w:tc>
          <w:tcPr>
            <w:tcW w:type="dxa" w:w="2500"/>
            <w:shd w:fill="1F4E5C" w:val="clear"/>
            <w:tcMar>
              <w:top w:type="dxa" w:w="80"/>
              <w:left w:type="dxa" w:w="100"/>
              <w:bottom w:type="dxa" w:w="80"/>
              <w:right w:type="dxa" w:w="100"/>
            </w:tcMar>
            <w:vAlign w:val="center"/>
          </w:tcPr>
          <w:p>
            <w:r>
              <w:rPr>
                <w:b/>
                <w:bCs/>
                <w:color w:val="FFFFFF"/>
                <w:sz w:val="19"/>
                <w:szCs w:val="19"/>
              </w:rPr>
              <w:t xml:space="preserve">Estimated effect per unit</w:t>
            </w:r>
          </w:p>
        </w:tc>
        <w:tc>
          <w:tcPr>
            <w:tcW w:type="dxa" w:w="3660"/>
            <w:shd w:fill="1F4E5C" w:val="clear"/>
            <w:tcMar>
              <w:top w:type="dxa" w:w="80"/>
              <w:left w:type="dxa" w:w="100"/>
              <w:bottom w:type="dxa" w:w="80"/>
              <w:right w:type="dxa" w:w="100"/>
            </w:tcMar>
            <w:vAlign w:val="center"/>
          </w:tcPr>
          <w:p>
            <w:r>
              <w:rPr>
                <w:b/>
                <w:bCs/>
                <w:color w:val="FFFFFF"/>
                <w:sz w:val="19"/>
                <w:szCs w:val="19"/>
              </w:rPr>
              <w:t xml:space="preserve">Business reading</w:t>
            </w:r>
          </w:p>
        </w:tc>
      </w:tr>
      <w:tr>
        <w:tc>
          <w:tcPr>
            <w:tcW w:type="dxa" w:w="3200"/>
            <w:shd w:fill="FFFFFF" w:val="clear"/>
            <w:tcMar>
              <w:top w:type="dxa" w:w="70"/>
              <w:left w:type="dxa" w:w="100"/>
              <w:bottom w:type="dxa" w:w="70"/>
              <w:right w:type="dxa" w:w="100"/>
            </w:tcMar>
          </w:tcPr>
          <w:p>
            <w:r>
              <w:rPr>
                <w:sz w:val="19"/>
                <w:szCs w:val="19"/>
              </w:rPr>
              <w:t xml:space="preserve">Soil quality index (1–10 scale)</w:t>
            </w:r>
          </w:p>
        </w:tc>
        <w:tc>
          <w:tcPr>
            <w:tcW w:type="dxa" w:w="2500"/>
            <w:shd w:fill="FFFFFF" w:val="clear"/>
            <w:tcMar>
              <w:top w:type="dxa" w:w="70"/>
              <w:left w:type="dxa" w:w="100"/>
              <w:bottom w:type="dxa" w:w="70"/>
              <w:right w:type="dxa" w:w="100"/>
            </w:tcMar>
          </w:tcPr>
          <w:p>
            <w:r>
              <w:rPr>
                <w:sz w:val="19"/>
                <w:szCs w:val="19"/>
              </w:rPr>
              <w:t xml:space="preserve">+2.00 per point (estimated association)</w:t>
            </w:r>
          </w:p>
        </w:tc>
        <w:tc>
          <w:tcPr>
            <w:tcW w:type="dxa" w:w="3660"/>
            <w:shd w:fill="FFFFFF" w:val="clear"/>
            <w:tcMar>
              <w:top w:type="dxa" w:w="70"/>
              <w:left w:type="dxa" w:w="100"/>
              <w:bottom w:type="dxa" w:w="70"/>
              <w:right w:type="dxa" w:w="100"/>
            </w:tcMar>
          </w:tcPr>
          <w:p>
            <w:r>
              <w:rPr>
                <w:sz w:val="19"/>
                <w:szCs w:val="19"/>
              </w:rPr>
              <w:t xml:space="preserve">Highest per-unit leverage of any input — but the scale only spans 1–10, so its total swing across the range is smaller than farm size's.</w:t>
            </w:r>
          </w:p>
        </w:tc>
      </w:tr>
      <w:tr>
        <w:tc>
          <w:tcPr>
            <w:tcW w:type="dxa" w:w="3200"/>
            <w:shd w:fill="F7F9FA" w:val="clear"/>
            <w:tcMar>
              <w:top w:type="dxa" w:w="70"/>
              <w:left w:type="dxa" w:w="100"/>
              <w:bottom w:type="dxa" w:w="70"/>
              <w:right w:type="dxa" w:w="100"/>
            </w:tcMar>
          </w:tcPr>
          <w:p>
            <w:r>
              <w:rPr>
                <w:sz w:val="19"/>
                <w:szCs w:val="19"/>
              </w:rPr>
              <w:t xml:space="preserve">Sunlight hours</w:t>
            </w:r>
          </w:p>
        </w:tc>
        <w:tc>
          <w:tcPr>
            <w:tcW w:type="dxa" w:w="2500"/>
            <w:shd w:fill="F7F9FA" w:val="clear"/>
            <w:tcMar>
              <w:top w:type="dxa" w:w="70"/>
              <w:left w:type="dxa" w:w="100"/>
              <w:bottom w:type="dxa" w:w="70"/>
              <w:right w:type="dxa" w:w="100"/>
            </w:tcMar>
          </w:tcPr>
          <w:p>
            <w:r>
              <w:rPr>
                <w:sz w:val="19"/>
                <w:szCs w:val="19"/>
              </w:rPr>
              <w:t xml:space="preserve">+0.09 per hour (estimated association)</w:t>
            </w:r>
          </w:p>
        </w:tc>
        <w:tc>
          <w:tcPr>
            <w:tcW w:type="dxa" w:w="3660"/>
            <w:shd w:fill="F7F9FA" w:val="clear"/>
            <w:tcMar>
              <w:top w:type="dxa" w:w="70"/>
              <w:left w:type="dxa" w:w="100"/>
              <w:bottom w:type="dxa" w:w="70"/>
              <w:right w:type="dxa" w:w="100"/>
            </w:tcMar>
          </w:tcPr>
          <w:p>
            <w:r>
              <w:rPr>
                <w:sz w:val="19"/>
                <w:szCs w:val="19"/>
              </w:rPr>
              <w:t xml:space="preserve">Positive, modest, and outside operational control.</w:t>
            </w:r>
          </w:p>
        </w:tc>
      </w:tr>
      <w:tr>
        <w:tc>
          <w:tcPr>
            <w:tcW w:type="dxa" w:w="3200"/>
            <w:shd w:fill="FFFFFF" w:val="clear"/>
            <w:tcMar>
              <w:top w:type="dxa" w:w="70"/>
              <w:left w:type="dxa" w:w="100"/>
              <w:bottom w:type="dxa" w:w="70"/>
              <w:right w:type="dxa" w:w="100"/>
            </w:tcMar>
          </w:tcPr>
          <w:p>
            <w:r>
              <w:rPr>
                <w:sz w:val="19"/>
                <w:szCs w:val="19"/>
              </w:rPr>
              <w:t xml:space="preserve">Rainfall (mm)</w:t>
            </w:r>
          </w:p>
        </w:tc>
        <w:tc>
          <w:tcPr>
            <w:tcW w:type="dxa" w:w="2500"/>
            <w:shd w:fill="FFFFFF" w:val="clear"/>
            <w:tcMar>
              <w:top w:type="dxa" w:w="70"/>
              <w:left w:type="dxa" w:w="100"/>
              <w:bottom w:type="dxa" w:w="70"/>
              <w:right w:type="dxa" w:w="100"/>
            </w:tcMar>
          </w:tcPr>
          <w:p>
            <w:r>
              <w:rPr>
                <w:sz w:val="19"/>
                <w:szCs w:val="19"/>
              </w:rPr>
              <w:t xml:space="preserve">+0.03 per mm (estimated association)</w:t>
            </w:r>
          </w:p>
        </w:tc>
        <w:tc>
          <w:tcPr>
            <w:tcW w:type="dxa" w:w="3660"/>
            <w:shd w:fill="FFFFFF" w:val="clear"/>
            <w:tcMar>
              <w:top w:type="dxa" w:w="70"/>
              <w:left w:type="dxa" w:w="100"/>
              <w:bottom w:type="dxa" w:w="70"/>
              <w:right w:type="dxa" w:w="100"/>
            </w:tcMar>
          </w:tcPr>
          <w:p>
            <w:r>
              <w:rPr>
                <w:sz w:val="19"/>
                <w:szCs w:val="19"/>
              </w:rPr>
              <w:t xml:space="preserve">Positive, modest, and outside operational control.</w:t>
            </w:r>
          </w:p>
        </w:tc>
      </w:tr>
      <w:tr>
        <w:tc>
          <w:tcPr>
            <w:tcW w:type="dxa" w:w="3200"/>
            <w:shd w:fill="F7F9FA" w:val="clear"/>
            <w:tcMar>
              <w:top w:type="dxa" w:w="70"/>
              <w:left w:type="dxa" w:w="100"/>
              <w:bottom w:type="dxa" w:w="70"/>
              <w:right w:type="dxa" w:w="100"/>
            </w:tcMar>
          </w:tcPr>
          <w:p>
            <w:r>
              <w:rPr>
                <w:sz w:val="19"/>
                <w:szCs w:val="19"/>
              </w:rPr>
              <w:t xml:space="preserve">Fertilizer applied (kg)</w:t>
            </w:r>
          </w:p>
        </w:tc>
        <w:tc>
          <w:tcPr>
            <w:tcW w:type="dxa" w:w="2500"/>
            <w:shd w:fill="F7F9FA" w:val="clear"/>
            <w:tcMar>
              <w:top w:type="dxa" w:w="70"/>
              <w:left w:type="dxa" w:w="100"/>
              <w:bottom w:type="dxa" w:w="70"/>
              <w:right w:type="dxa" w:w="100"/>
            </w:tcMar>
          </w:tcPr>
          <w:p>
            <w:r>
              <w:rPr>
                <w:sz w:val="19"/>
                <w:szCs w:val="19"/>
              </w:rPr>
              <w:t xml:space="preserve">+0.02 per kg (estimated association)</w:t>
            </w:r>
          </w:p>
        </w:tc>
        <w:tc>
          <w:tcPr>
            <w:tcW w:type="dxa" w:w="3660"/>
            <w:shd w:fill="F7F9FA" w:val="clear"/>
            <w:tcMar>
              <w:top w:type="dxa" w:w="70"/>
              <w:left w:type="dxa" w:w="100"/>
              <w:bottom w:type="dxa" w:w="70"/>
              <w:right w:type="dxa" w:w="100"/>
            </w:tcMar>
          </w:tcPr>
          <w:p>
            <w:r>
              <w:rPr>
                <w:sz w:val="19"/>
                <w:szCs w:val="19"/>
              </w:rPr>
              <w:t xml:space="preserve">Positive but the smallest measured effect of the four controllable/environmental inputs — see 4.3 before treating this as a scaling lever.</w:t>
            </w:r>
          </w:p>
        </w:tc>
      </w:tr>
    </w:tbl>
    <w:p>
      <w:pPr>
        <w:spacing w:after="120"/>
      </w:pPr>
    </w:p>
    <w:p>
      <w:pPr>
        <w:pStyle w:val="Heading2"/>
        <w:spacing w:after="100" w:before="220"/>
      </w:pPr>
      <w:r>
        <w:rPr>
          <w:b/>
          <w:bCs/>
          <w:color w:val="222222"/>
          <w:sz w:val="24"/>
          <w:szCs w:val="24"/>
        </w:rPr>
        <w:t xml:space="preserve">4.3 Fertilizer and soil quality, viewed by group</w:t>
      </w:r>
    </w:p>
    <w:p>
      <w:pPr>
        <w:spacing w:after="120"/>
      </w:pPr>
      <w:r>
        <w:rPr>
          <w:sz w:val="22"/>
          <w:szCs w:val="22"/>
        </w:rPr>
        <w:t xml:space="preserve">Grouping farms into bands shows a similar story for fertilizer at a coarser level: average output rises from 311.5 in the lowest fertilizer band (0–499 kg) to 355.6 in the highest (2,500–3,000 kg) — a real but gradual gradient, not a sharp threshold effect.</w:t>
      </w:r>
    </w:p>
    <w:p>
      <w:pPr>
        <w:spacing w:after="120"/>
      </w:pPr>
      <w:r>
        <w:rPr>
          <w:sz w:val="22"/>
          <w:szCs w:val="22"/>
        </w:rPr>
        <w:t xml:space="preserve">Soil quality is less clean when viewed this way. Average output by soil quality index (1 through 10) is 313.9, 312.9, 316.1, 336.8, 338.6, 328.9, 332.5, 342.7, 326.2, 332.3 — the lowest and highest categories are not the lowest and highest averages, and there is no consistent upward trend across the full range. This does not contradict the regression's +2.00-per-point estimate: that estimate holds farm size, rainfall, fertilizer, and sunlight constant, while these raw group averages do not — so the group-level view is noisier than the modeled relationship. Do not read a smooth trend into this table that the grouped numbers do not actually show.</w:t>
      </w:r>
    </w:p>
    <w:p>
      <w:pPr>
        <w:pStyle w:val="Heading2"/>
        <w:spacing w:after="100" w:before="220"/>
      </w:pPr>
      <w:r>
        <w:rPr>
          <w:b/>
          <w:bCs/>
          <w:color w:val="222222"/>
          <w:sz w:val="24"/>
          <w:szCs w:val="24"/>
        </w:rPr>
        <w:t xml:space="preserve">4.4 Farm size shows no meaningful scale effect on a per-hectare basis</w:t>
      </w:r>
    </w:p>
    <w:p>
      <w:pPr>
        <w:spacing w:after="120"/>
      </w:pPr>
      <w:r>
        <w:rPr>
          <w:sz w:val="22"/>
          <w:szCs w:val="22"/>
        </w:rPr>
        <w:t xml:space="preserve">Average output per farm-size band (0–250 ha, 250–500 ha, 500–750 ha, 750–1,000 ha) is essentially flat — roughly 320 to 336 across all four bands, with no consistent upward or downward trend. This matters because an earlier version of this analysis concluded the opposite (Section 6).</w:t>
      </w:r>
    </w:p>
    <w:p>
      <w:pPr>
        <w:pStyle w:val="Heading1"/>
        <w:pBdr>
          <w:bottom w:val="single" w:color="1F4E5C" w:sz="6"/>
        </w:pBdr>
        <w:spacing w:after="160" w:before="320"/>
      </w:pPr>
      <w:r>
        <w:rPr>
          <w:b/>
          <w:bCs/>
          <w:color w:val="1F4E5C"/>
          <w:sz w:val="28"/>
          <w:szCs w:val="28"/>
        </w:rPr>
        <w:t xml:space="preserve">5. Business Implications</w:t>
      </w:r>
    </w:p>
    <w:p>
      <w:pPr>
        <w:pStyle w:val="ListParagraph"/>
        <w:numPr>
          <w:ilvl w:val="0"/>
          <w:numId w:val="2"/>
        </w:numPr>
        <w:spacing w:after="60"/>
      </w:pPr>
      <w:r>
        <w:rPr>
          <w:sz w:val="22"/>
          <w:szCs w:val="22"/>
        </w:rPr>
        <w:t xml:space="preserve">Farm size shows the strongest observed association with total output in this dataset (r = 0.989) — the most defensible relationship here. This is not evidence that acquiring more hectares would cause a proportional output increase for any specific new operation; no experiment varied farm size independently of other factors.</w:t>
      </w:r>
    </w:p>
    <w:p>
      <w:pPr>
        <w:pStyle w:val="ListParagraph"/>
        <w:numPr>
          <w:ilvl w:val="0"/>
          <w:numId w:val="2"/>
        </w:numPr>
        <w:spacing w:after="60"/>
      </w:pPr>
      <w:r>
        <w:rPr>
          <w:sz w:val="22"/>
          <w:szCs w:val="22"/>
        </w:rPr>
        <w:t xml:space="preserve">Input factors (fertilizer, rainfall timing, soil improvement) show real but modest estimated associations per unit — a reasonable starting point for incremental testing, not a confirmed growth lever on their own and not a substitute for an actual agronomic trial.</w:t>
      </w:r>
    </w:p>
    <w:p>
      <w:pPr>
        <w:pStyle w:val="ListParagraph"/>
        <w:numPr>
          <w:ilvl w:val="0"/>
          <w:numId w:val="2"/>
        </w:numPr>
        <w:spacing w:after="60"/>
      </w:pPr>
      <w:r>
        <w:rPr>
          <w:sz w:val="22"/>
          <w:szCs w:val="22"/>
        </w:rPr>
        <w:t xml:space="preserve">There is no evidence in this data of operational penalties at larger farm sizes — larger operations do not show reduced output per hectare. Any prior belief to that effect (see Section 6) should be retired.</w:t>
      </w:r>
    </w:p>
    <w:p>
      <w:pPr>
        <w:pStyle w:val="ListParagraph"/>
        <w:numPr>
          <w:ilvl w:val="0"/>
          <w:numId w:val="2"/>
        </w:numPr>
        <w:spacing w:after="60"/>
      </w:pPr>
      <w:r>
        <w:rPr>
          <w:sz w:val="22"/>
          <w:szCs w:val="22"/>
        </w:rPr>
        <w:t xml:space="preserve">All relationships above are associations observed in this dataset, not proven cause-and-effect. This is observational data, not a controlled trial — see Section 7.</w:t>
      </w:r>
    </w:p>
    <w:p>
      <w:pPr>
        <w:spacing w:after="120"/>
      </w:pPr>
    </w:p>
    <w:p>
      <w:pPr>
        <w:pStyle w:val="Heading1"/>
        <w:pBdr>
          <w:bottom w:val="single" w:color="1F4E5C" w:sz="6"/>
        </w:pBdr>
        <w:spacing w:after="160" w:before="320"/>
      </w:pPr>
      <w:r>
        <w:rPr>
          <w:b/>
          <w:bCs/>
          <w:color w:val="1F4E5C"/>
          <w:sz w:val="28"/>
          <w:szCs w:val="28"/>
        </w:rPr>
        <w:t xml:space="preserve">6. A Correction Made During This Project — and Why It Matters to You</w:t>
      </w:r>
    </w:p>
    <w:p>
      <w:pPr>
        <w:spacing w:after="120"/>
      </w:pPr>
      <w:r>
        <w:rPr>
          <w:sz w:val="22"/>
          <w:szCs w:val="22"/>
        </w:rPr>
        <w:t xml:space="preserve">An earlier stage of this analysis calculated an "efficiency" measure by dividing total output by farm size, and concluded that efficiency declines as farms get larger ("diseconomies of scale"). That conclusion has been withdrawn.</w:t>
      </w:r>
    </w:p>
    <w:p>
      <w:pPr>
        <w:spacing w:after="120"/>
      </w:pPr>
      <w:r>
        <w:rPr>
          <w:sz w:val="22"/>
          <w:szCs w:val="22"/>
        </w:rPr>
        <w:t xml:space="preserve">The reason: total output already scales almost perfectly with farm size (r = 0.989) — meaning farm size includes a fixed baseline component that does not grow with size. Dividing by farm size again mechanically manufactures a declining ratio as size increases, regardless of what is actually happening operationally. A direct test confirmed this: a model containing only the mathematical term "1 ÷ farm size" explained 78.9% of the pattern the original efficiency model claimed to explain with five real variables (79.7%) — meaning roughly 99% of the original "finding" was a mathematical artifact, not a real business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Why this section is here</w:t>
            </w:r>
          </w:p>
          <w:p>
            <w:r>
              <w:rPr>
                <w:sz w:val="20"/>
                <w:szCs w:val="20"/>
              </w:rPr>
              <w:t xml:space="preserve">A business briefing that quietly drops a wrong conclusion without saying so invites the same mistake to resurface later. Stating it plainly is more defensible in any review, audit, or investment discussion than omitting it.</w:t>
            </w:r>
          </w:p>
        </w:tc>
      </w:tr>
    </w:tbl>
    <w:p>
      <w:pPr>
        <w:spacing w:after="120"/>
      </w:pPr>
    </w:p>
    <w:p>
      <w:pPr>
        <w:pStyle w:val="Heading1"/>
        <w:pBdr>
          <w:bottom w:val="single" w:color="1F4E5C" w:sz="6"/>
        </w:pBdr>
        <w:spacing w:after="160" w:before="320"/>
      </w:pPr>
      <w:r>
        <w:rPr>
          <w:b/>
          <w:bCs/>
          <w:color w:val="1F4E5C"/>
          <w:sz w:val="28"/>
          <w:szCs w:val="28"/>
        </w:rPr>
        <w:t xml:space="preserve">7. Limitations — What This Analysis Cannot Tell You</w:t>
      </w:r>
    </w:p>
    <w:p>
      <w:pPr>
        <w:pStyle w:val="ListParagraph"/>
        <w:numPr>
          <w:ilvl w:val="0"/>
          <w:numId w:val="2"/>
        </w:numPr>
        <w:spacing w:after="60"/>
      </w:pPr>
      <w:r>
        <w:rPr>
          <w:sz w:val="22"/>
          <w:szCs w:val="22"/>
        </w:rPr>
        <w:t xml:space="preserve">This is observational data: input factors were not independently varied in a controlled way, so "associated with higher output" is the correct phrase — not "causes higher output."</w:t>
      </w:r>
    </w:p>
    <w:p>
      <w:pPr>
        <w:pStyle w:val="ListParagraph"/>
        <w:numPr>
          <w:ilvl w:val="0"/>
          <w:numId w:val="2"/>
        </w:numPr>
        <w:spacing w:after="60"/>
      </w:pPr>
      <w:r>
        <w:rPr>
          <w:sz w:val="22"/>
          <w:szCs w:val="22"/>
        </w:rPr>
        <w:t xml:space="preserve">The model's near-perfect fit (R² = 0.999996) is unusually high for real agricultural data, which typically carries measurement noise, biological yield ceilings, and diminishing returns to inputs. This suggests the dataset may be synthetic or generated for training purposes rather than collected from live farm operations — a data-provenance question that could not be fully resolved from the file alone (see Deliverable 4, Section on Provenance).</w:t>
      </w:r>
    </w:p>
    <w:p>
      <w:pPr>
        <w:pStyle w:val="ListParagraph"/>
        <w:numPr>
          <w:ilvl w:val="0"/>
          <w:numId w:val="2"/>
        </w:numPr>
        <w:spacing w:after="60"/>
      </w:pPr>
      <w:r>
        <w:rPr>
          <w:sz w:val="22"/>
          <w:szCs w:val="22"/>
        </w:rPr>
        <w:t xml:space="preserve">The unit of the output measure ("crop yield") is assumed rather than confirmed from a source document — treat absolute output figures as directional until the unit is verified.</w:t>
      </w:r>
    </w:p>
    <w:p>
      <w:pPr>
        <w:spacing w:after="120"/>
      </w:pPr>
    </w:p>
    <w:p>
      <w:pPr>
        <w:pStyle w:val="Heading1"/>
        <w:pBdr>
          <w:bottom w:val="single" w:color="1F4E5C" w:sz="6"/>
        </w:pBdr>
        <w:spacing w:after="160" w:before="320"/>
      </w:pPr>
      <w:r>
        <w:rPr>
          <w:b/>
          <w:bCs/>
          <w:color w:val="1F4E5C"/>
          <w:sz w:val="28"/>
          <w:szCs w:val="28"/>
        </w:rPr>
        <w:t xml:space="preserve">8. Recommendation</w:t>
      </w:r>
    </w:p>
    <w:p>
      <w:pPr>
        <w:spacing w:after="120"/>
      </w:pPr>
      <w:r>
        <w:rPr>
          <w:sz w:val="22"/>
          <w:szCs w:val="22"/>
        </w:rPr>
        <w:t xml:space="preserve">Treat farm size as the strongest observed planning signal in this dataset, not as proof that expanding any given farm will increase its output by a predictable amount — that would require a study that varies farm size directly. Treat input-factor findings (fertilizer, soil amendment) as hypotheses worth testing in a controlled setting, not as validated agronomic guidance. Before using this analysis to support an external-facing investment or policy decision, confirm the data's origin and the output variable's unit with whoever supplied the original dataset, and treat all figures as descriptive of this dataset until independently validated on new data.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2026-09-18T07:48:17.072Z</dcterms:created>
  <dcterms:modified xsi:type="dcterms:W3CDTF">2026-09-18T07:48:17.081Z</dcterms:modified>
</cp:coreProperties>
</file>

<file path=docProps/custom.xml><?xml version="1.0" encoding="utf-8"?>
<Properties xmlns="http://schemas.openxmlformats.org/officeDocument/2006/custom-properties" xmlns:vt="http://schemas.openxmlformats.org/officeDocument/2006/docPropsVTypes"/>
</file>