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b/>
          <w:bCs/>
          <w:color w:val="1F4E5C"/>
          <w:sz w:val="44"/>
          <w:szCs w:val="44"/>
        </w:rPr>
        <w:t xml:space="preserve">SYSTEM ARCHITECTURE &amp; TECHNICAL DOCUMENTATION</w:t>
      </w:r>
    </w:p>
    <w:p>
      <w:pPr>
        <w:spacing w:after="60"/>
      </w:pPr>
      <w:r>
        <w:rPr>
          <w:color w:val="444444"/>
          <w:sz w:val="26"/>
          <w:szCs w:val="26"/>
        </w:rPr>
        <w:t xml:space="preserve">Agricultural Production Drivers Analysis — Project 7</w:t>
      </w:r>
    </w:p>
    <w:p>
      <w:pPr>
        <w:spacing w:after="40"/>
      </w:pPr>
      <w:r>
        <w:rPr>
          <w:i/>
          <w:iCs/>
          <w:color w:val="5A5A5A"/>
          <w:sz w:val="20"/>
          <w:szCs w:val="20"/>
        </w:rPr>
        <w:t xml:space="preserve">Workbook: agricultural_efficiency_analysis_workbook_v2.xlsx   ·   Platform: Microsoft Excel   ·   Author: John O. Ezekiel</w:t>
      </w:r>
    </w:p>
    <w:p>
      <w:r>
        <w:br w:type="page"/>
      </w:r>
    </w:p>
    <w:p>
      <w:pPr>
        <w:pStyle w:val="Heading1"/>
        <w:pBdr>
          <w:bottom w:val="single" w:color="1F4E5C" w:sz="6"/>
        </w:pBdr>
        <w:spacing w:after="160" w:before="320"/>
      </w:pPr>
      <w:r>
        <w:rPr>
          <w:b/>
          <w:bCs/>
          <w:color w:val="1F4E5C"/>
          <w:sz w:val="28"/>
          <w:szCs w:val="28"/>
        </w:rPr>
        <w:t xml:space="preserve">1. System Overview</w:t>
      </w:r>
    </w:p>
    <w:p>
      <w:pPr>
        <w:spacing w:after="120"/>
      </w:pPr>
      <w:r>
        <w:rPr>
          <w:sz w:val="22"/>
          <w:szCs w:val="22"/>
        </w:rPr>
        <w:t xml:space="preserve">This project is implemented as a single Microsoft Excel workbook using native Excel features only: Excel Tables, PivotTables/PivotCharts, native chart objects, and the Data Analysis ToolPak add-in for regression. No Power Query, no Power Pivot/DAX, and no external database or Power BI component is used at any stage. This reflects the tools actually used to build the project; it is not documented anywhere as a deliberate architectural decision to exclude those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5C" w:val="clear"/>
            <w:tcMar>
              <w:top w:type="dxa" w:w="80"/>
              <w:left w:type="dxa" w:w="100"/>
              <w:bottom w:type="dxa" w:w="80"/>
              <w:right w:type="dxa" w:w="100"/>
            </w:tcMar>
            <w:vAlign w:val="center"/>
          </w:tcPr>
          <w:p>
            <w:r>
              <w:rPr>
                <w:b/>
                <w:bCs/>
                <w:color w:val="FFFFFF"/>
                <w:sz w:val="19"/>
                <w:szCs w:val="19"/>
              </w:rPr>
              <w:t xml:space="preserve">Layer</w:t>
            </w:r>
          </w:p>
        </w:tc>
        <w:tc>
          <w:tcPr>
            <w:tcW w:type="dxa" w:w="6160"/>
            <w:shd w:fill="1F4E5C" w:val="clear"/>
            <w:tcMar>
              <w:top w:type="dxa" w:w="80"/>
              <w:left w:type="dxa" w:w="100"/>
              <w:bottom w:type="dxa" w:w="80"/>
              <w:right w:type="dxa" w:w="100"/>
            </w:tcMar>
            <w:vAlign w:val="center"/>
          </w:tcPr>
          <w:p>
            <w:r>
              <w:rPr>
                <w:b/>
                <w:bCs/>
                <w:color w:val="FFFFFF"/>
                <w:sz w:val="19"/>
                <w:szCs w:val="19"/>
              </w:rPr>
              <w:t xml:space="preserve">Technology used</w:t>
            </w:r>
          </w:p>
        </w:tc>
      </w:tr>
      <w:tr>
        <w:tc>
          <w:tcPr>
            <w:tcW w:type="dxa" w:w="3200"/>
            <w:shd w:fill="FFFFFF" w:val="clear"/>
            <w:tcMar>
              <w:top w:type="dxa" w:w="70"/>
              <w:left w:type="dxa" w:w="100"/>
              <w:bottom w:type="dxa" w:w="70"/>
              <w:right w:type="dxa" w:w="100"/>
            </w:tcMar>
          </w:tcPr>
          <w:p>
            <w:r>
              <w:rPr>
                <w:sz w:val="19"/>
                <w:szCs w:val="19"/>
              </w:rPr>
              <w:t xml:space="preserve">Data storage</w:t>
            </w:r>
          </w:p>
        </w:tc>
        <w:tc>
          <w:tcPr>
            <w:tcW w:type="dxa" w:w="6160"/>
            <w:shd w:fill="FFFFFF" w:val="clear"/>
            <w:tcMar>
              <w:top w:type="dxa" w:w="70"/>
              <w:left w:type="dxa" w:w="100"/>
              <w:bottom w:type="dxa" w:w="70"/>
              <w:right w:type="dxa" w:w="100"/>
            </w:tcMar>
          </w:tcPr>
          <w:p>
            <w:r>
              <w:rPr>
                <w:sz w:val="19"/>
                <w:szCs w:val="19"/>
              </w:rPr>
              <w:t xml:space="preserve">Native Excel worksheet ranges, formatted as Excel Tables (Ctrl+T)</w:t>
            </w:r>
          </w:p>
        </w:tc>
      </w:tr>
      <w:tr>
        <w:tc>
          <w:tcPr>
            <w:tcW w:type="dxa" w:w="3200"/>
            <w:shd w:fill="F7F9FA" w:val="clear"/>
            <w:tcMar>
              <w:top w:type="dxa" w:w="70"/>
              <w:left w:type="dxa" w:w="100"/>
              <w:bottom w:type="dxa" w:w="70"/>
              <w:right w:type="dxa" w:w="100"/>
            </w:tcMar>
          </w:tcPr>
          <w:p>
            <w:r>
              <w:rPr>
                <w:sz w:val="19"/>
                <w:szCs w:val="19"/>
              </w:rPr>
              <w:t xml:space="preserve">Data transformation</w:t>
            </w:r>
          </w:p>
        </w:tc>
        <w:tc>
          <w:tcPr>
            <w:tcW w:type="dxa" w:w="6160"/>
            <w:shd w:fill="F7F9FA" w:val="clear"/>
            <w:tcMar>
              <w:top w:type="dxa" w:w="70"/>
              <w:left w:type="dxa" w:w="100"/>
              <w:bottom w:type="dxa" w:w="70"/>
              <w:right w:type="dxa" w:w="100"/>
            </w:tcMar>
          </w:tcPr>
          <w:p>
            <w:r>
              <w:rPr>
                <w:sz w:val="19"/>
                <w:szCs w:val="19"/>
              </w:rPr>
              <w:t xml:space="preserve">In-cell formulas (IF, LN in a retired iteration) via structured table references</w:t>
            </w:r>
          </w:p>
        </w:tc>
      </w:tr>
      <w:tr>
        <w:tc>
          <w:tcPr>
            <w:tcW w:type="dxa" w:w="3200"/>
            <w:shd w:fill="FFFFFF" w:val="clear"/>
            <w:tcMar>
              <w:top w:type="dxa" w:w="70"/>
              <w:left w:type="dxa" w:w="100"/>
              <w:bottom w:type="dxa" w:w="70"/>
              <w:right w:type="dxa" w:w="100"/>
            </w:tcMar>
          </w:tcPr>
          <w:p>
            <w:r>
              <w:rPr>
                <w:sz w:val="19"/>
                <w:szCs w:val="19"/>
              </w:rPr>
              <w:t xml:space="preserve">Exploratory analysis</w:t>
            </w:r>
          </w:p>
        </w:tc>
        <w:tc>
          <w:tcPr>
            <w:tcW w:type="dxa" w:w="6160"/>
            <w:shd w:fill="FFFFFF" w:val="clear"/>
            <w:tcMar>
              <w:top w:type="dxa" w:w="70"/>
              <w:left w:type="dxa" w:w="100"/>
              <w:bottom w:type="dxa" w:w="70"/>
              <w:right w:type="dxa" w:w="100"/>
            </w:tcMar>
          </w:tcPr>
          <w:p>
            <w:r>
              <w:rPr>
                <w:sz w:val="19"/>
                <w:szCs w:val="19"/>
              </w:rPr>
              <w:t xml:space="preserve">Native Excel PivotTables and PivotCharts</w:t>
            </w:r>
          </w:p>
        </w:tc>
      </w:tr>
      <w:tr>
        <w:tc>
          <w:tcPr>
            <w:tcW w:type="dxa" w:w="3200"/>
            <w:shd w:fill="F7F9FA" w:val="clear"/>
            <w:tcMar>
              <w:top w:type="dxa" w:w="70"/>
              <w:left w:type="dxa" w:w="100"/>
              <w:bottom w:type="dxa" w:w="70"/>
              <w:right w:type="dxa" w:w="100"/>
            </w:tcMar>
          </w:tcPr>
          <w:p>
            <w:r>
              <w:rPr>
                <w:sz w:val="19"/>
                <w:szCs w:val="19"/>
              </w:rPr>
              <w:t xml:space="preserve">Statistical modeling</w:t>
            </w:r>
          </w:p>
        </w:tc>
        <w:tc>
          <w:tcPr>
            <w:tcW w:type="dxa" w:w="6160"/>
            <w:shd w:fill="F7F9FA" w:val="clear"/>
            <w:tcMar>
              <w:top w:type="dxa" w:w="70"/>
              <w:left w:type="dxa" w:w="100"/>
              <w:bottom w:type="dxa" w:w="70"/>
              <w:right w:type="dxa" w:w="100"/>
            </w:tcMar>
          </w:tcPr>
          <w:p>
            <w:r>
              <w:rPr>
                <w:sz w:val="19"/>
                <w:szCs w:val="19"/>
              </w:rPr>
              <w:t xml:space="preserve">Data Analysis ToolPak — Regression tool (Ordinary Least Squares)</w:t>
            </w:r>
          </w:p>
        </w:tc>
      </w:tr>
      <w:tr>
        <w:tc>
          <w:tcPr>
            <w:tcW w:type="dxa" w:w="3200"/>
            <w:shd w:fill="FFFFFF" w:val="clear"/>
            <w:tcMar>
              <w:top w:type="dxa" w:w="70"/>
              <w:left w:type="dxa" w:w="100"/>
              <w:bottom w:type="dxa" w:w="70"/>
              <w:right w:type="dxa" w:w="100"/>
            </w:tcMar>
          </w:tcPr>
          <w:p>
            <w:r>
              <w:rPr>
                <w:sz w:val="19"/>
                <w:szCs w:val="19"/>
              </w:rPr>
              <w:t xml:space="preserve">Presentation layer</w:t>
            </w:r>
          </w:p>
        </w:tc>
        <w:tc>
          <w:tcPr>
            <w:tcW w:type="dxa" w:w="6160"/>
            <w:shd w:fill="FFFFFF" w:val="clear"/>
            <w:tcMar>
              <w:top w:type="dxa" w:w="70"/>
              <w:left w:type="dxa" w:w="100"/>
              <w:bottom w:type="dxa" w:w="70"/>
              <w:right w:type="dxa" w:w="100"/>
            </w:tcMar>
          </w:tcPr>
          <w:p>
            <w:r>
              <w:rPr>
                <w:sz w:val="19"/>
                <w:szCs w:val="19"/>
              </w:rPr>
              <w:t xml:space="preserve">Native Excel charts + shapes/text boxes on a dedicated Dashboard sheet</w:t>
            </w:r>
          </w:p>
        </w:tc>
      </w:tr>
      <w:tr>
        <w:tc>
          <w:tcPr>
            <w:tcW w:type="dxa" w:w="3200"/>
            <w:shd w:fill="F7F9FA" w:val="clear"/>
            <w:tcMar>
              <w:top w:type="dxa" w:w="70"/>
              <w:left w:type="dxa" w:w="100"/>
              <w:bottom w:type="dxa" w:w="70"/>
              <w:right w:type="dxa" w:w="100"/>
            </w:tcMar>
          </w:tcPr>
          <w:p>
            <w:r>
              <w:rPr>
                <w:sz w:val="19"/>
                <w:szCs w:val="19"/>
              </w:rPr>
              <w:t xml:space="preserve">Reporting layer</w:t>
            </w:r>
          </w:p>
        </w:tc>
        <w:tc>
          <w:tcPr>
            <w:tcW w:type="dxa" w:w="6160"/>
            <w:shd w:fill="F7F9FA" w:val="clear"/>
            <w:tcMar>
              <w:top w:type="dxa" w:w="70"/>
              <w:left w:type="dxa" w:w="100"/>
              <w:bottom w:type="dxa" w:w="70"/>
              <w:right w:type="dxa" w:w="100"/>
            </w:tcMar>
          </w:tcPr>
          <w:p>
            <w:r>
              <w:rPr>
                <w:sz w:val="19"/>
                <w:szCs w:val="19"/>
              </w:rPr>
              <w:t xml:space="preserve">Plain-text Executive Summary sheet</w:t>
            </w:r>
          </w:p>
        </w:tc>
      </w:tr>
    </w:tbl>
    <w:p>
      <w:pPr>
        <w:spacing w:after="120"/>
      </w:pPr>
    </w:p>
    <w:p>
      <w:pPr>
        <w:pStyle w:val="Heading1"/>
        <w:pBdr>
          <w:bottom w:val="single" w:color="1F4E5C" w:sz="6"/>
        </w:pBdr>
        <w:spacing w:after="160" w:before="320"/>
      </w:pPr>
      <w:r>
        <w:rPr>
          <w:b/>
          <w:bCs/>
          <w:color w:val="1F4E5C"/>
          <w:sz w:val="28"/>
          <w:szCs w:val="28"/>
        </w:rPr>
        <w:t xml:space="preserve">2. Workbook Architecture — Sheet-by-Sheet</w:t>
      </w:r>
    </w:p>
    <w:p>
      <w:pPr>
        <w:spacing w:after="120"/>
      </w:pPr>
      <w:r>
        <w:rPr>
          <w:sz w:val="22"/>
          <w:szCs w:val="22"/>
        </w:rPr>
        <w:t xml:space="preserve">The workbook contains six sheets, each with a single responsibility. Data flows one direction only, left to right below — no sheet reads from a sheet that appears after it in this sequence.</w:t>
      </w:r>
    </w:p>
    <w:p>
      <w:pPr>
        <w:pStyle w:val="Heading2"/>
        <w:spacing w:after="100" w:before="220"/>
      </w:pPr>
      <w:r>
        <w:rPr>
          <w:b/>
          <w:bCs/>
          <w:color w:val="222222"/>
          <w:sz w:val="24"/>
          <w:szCs w:val="24"/>
        </w:rPr>
        <w:t xml:space="preserve">2.1 Raw_Data</w:t>
      </w:r>
    </w:p>
    <w:p>
      <w:pPr>
        <w:spacing w:after="120"/>
      </w:pPr>
      <w:r>
        <w:rPr>
          <w:sz w:val="22"/>
          <w:szCs w:val="22"/>
        </w:rPr>
        <w:t xml:space="preserve">Source-of-truth sheet. Contains the original, unmodified dataset: 3,000 rows × 6 columns (rainfall_mm, soil_quality_index, farm_size_hectares, sunlight_hours, fertilizer_kg, crop_yield), formatted as Excel Table tbl_raw. This sheet is never edited after initial load — every downstream sheet either reads from it directly or from Cleaned_Data, which is a verified copy of it.</w:t>
      </w:r>
    </w:p>
    <w:p>
      <w:pPr>
        <w:pStyle w:val="Heading2"/>
        <w:spacing w:after="100" w:before="220"/>
      </w:pPr>
      <w:r>
        <w:rPr>
          <w:b/>
          <w:bCs/>
          <w:color w:val="222222"/>
          <w:sz w:val="24"/>
          <w:szCs w:val="24"/>
        </w:rPr>
        <w:t xml:space="preserve">2.2 Cleaned_Data</w:t>
      </w:r>
    </w:p>
    <w:p>
      <w:pPr>
        <w:spacing w:after="120"/>
      </w:pPr>
      <w:r>
        <w:rPr>
          <w:sz w:val="22"/>
          <w:szCs w:val="22"/>
        </w:rPr>
        <w:t xml:space="preserve">Contains the same 6 base columns as Raw_Data (verified cell-identical — see Section 5), formatted as Excel Table tbl_clean, plus one engineered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3F3F3" w:val="clear"/>
            <w:tcMar>
              <w:top w:type="dxa" w:w="100"/>
              <w:left w:type="dxa" w:w="180"/>
              <w:bottom w:type="dxa" w:w="100"/>
              <w:right w:type="dxa" w:w="180"/>
            </w:tcMar>
          </w:tcPr>
          <w:p>
            <w:r>
              <w:rPr>
                <w:rFonts w:ascii="Consolas" w:cs="Consolas" w:eastAsia="Consolas" w:hAnsi="Consolas"/>
                <w:color w:val="1A1A1A"/>
                <w:sz w:val="20"/>
                <w:szCs w:val="20"/>
              </w:rPr>
              <w:t xml:space="preserve">farm_size_band = IF([@farm_size_hectares]&lt;250,"0-250",
  IF([@farm_size_hectares]&lt;500,"250-500",
  IF([@farm_size_hectares]&lt;750,"500-750","750-1000")))</w:t>
            </w:r>
          </w:p>
        </w:tc>
      </w:tr>
    </w:tbl>
    <w:p>
      <w:pPr>
        <w:spacing w:after="120"/>
      </w:pPr>
      <w:r>
        <w:rPr>
          <w:sz w:val="22"/>
          <w:szCs w:val="22"/>
        </w:rPr>
        <w:t xml:space="preserve">This is a categorical banding of farm_size_hectares used only for grouping in PivotTables and the Dashboard slicer. It is not used as a model input and does not divide any variable — this design choice is directly informed by a defect found and removed earlier in the project (Section 6).</w:t>
      </w:r>
    </w:p>
    <w:p>
      <w:pPr>
        <w:pStyle w:val="Heading2"/>
        <w:spacing w:after="100" w:before="220"/>
      </w:pPr>
      <w:r>
        <w:rPr>
          <w:b/>
          <w:bCs/>
          <w:color w:val="222222"/>
          <w:sz w:val="24"/>
          <w:szCs w:val="24"/>
        </w:rPr>
        <w:t xml:space="preserve">2.3 EDA</w:t>
      </w:r>
    </w:p>
    <w:p>
      <w:pPr>
        <w:spacing w:after="120"/>
      </w:pPr>
      <w:r>
        <w:rPr>
          <w:sz w:val="22"/>
          <w:szCs w:val="22"/>
        </w:rPr>
        <w:t xml:space="preserve">Contains three native PivotTables, each sourced from tbl_clean, plus a static coefficient table transcribed from the regression output:</w:t>
      </w:r>
    </w:p>
    <w:p>
      <w:pPr>
        <w:pStyle w:val="ListParagraph"/>
        <w:numPr>
          <w:ilvl w:val="0"/>
          <w:numId w:val="2"/>
        </w:numPr>
        <w:spacing w:after="60"/>
      </w:pPr>
      <w:r>
        <w:rPr>
          <w:sz w:val="22"/>
          <w:szCs w:val="22"/>
        </w:rPr>
        <w:t xml:space="preserve">Average crop_yield by farm_size_band (4 rows: 0-250, 250-500, 500-750, 750-1000)</w:t>
      </w:r>
    </w:p>
    <w:p>
      <w:pPr>
        <w:pStyle w:val="ListParagraph"/>
        <w:numPr>
          <w:ilvl w:val="0"/>
          <w:numId w:val="2"/>
        </w:numPr>
        <w:spacing w:after="60"/>
      </w:pPr>
      <w:r>
        <w:rPr>
          <w:sz w:val="22"/>
          <w:szCs w:val="22"/>
        </w:rPr>
        <w:t xml:space="preserve">Average crop_yield by soil_quality_index (10 rows: values 1–10)</w:t>
      </w:r>
    </w:p>
    <w:p>
      <w:pPr>
        <w:pStyle w:val="ListParagraph"/>
        <w:numPr>
          <w:ilvl w:val="0"/>
          <w:numId w:val="2"/>
        </w:numPr>
        <w:spacing w:after="60"/>
      </w:pPr>
      <w:r>
        <w:rPr>
          <w:sz w:val="22"/>
          <w:szCs w:val="22"/>
        </w:rPr>
        <w:t xml:space="preserve">Average crop_yield by fertilizer band (6 rows: 0-499 through 2500-3000, in 500-unit bands)</w:t>
      </w:r>
    </w:p>
    <w:p>
      <w:pPr>
        <w:pStyle w:val="ListParagraph"/>
        <w:numPr>
          <w:ilvl w:val="0"/>
          <w:numId w:val="2"/>
        </w:numPr>
        <w:spacing w:after="60"/>
      </w:pPr>
      <w:r>
        <w:rPr>
          <w:sz w:val="22"/>
          <w:szCs w:val="22"/>
        </w:rPr>
        <w:t xml:space="preserve">A coefficient/impact table (5 rows, one per model predictor) transcribed from Regression_v2 for charting</w:t>
      </w:r>
    </w:p>
    <w:p>
      <w:pPr>
        <w:spacing w:after="120"/>
      </w:pPr>
      <w:r>
        <w:rPr>
          <w:sz w:val="22"/>
          <w:szCs w:val="22"/>
        </w:rPr>
        <w:t xml:space="preserve">Each PivotTable's cache source is the named table tbl_clean (not a fixed cell range), which means each PivotTable refreshes correctly if rows are added to Cleaned_Data — this was confirmed directly in the underlying pivot cache definition.</w:t>
      </w:r>
    </w:p>
    <w:p>
      <w:pPr>
        <w:pStyle w:val="Heading2"/>
        <w:spacing w:after="100" w:before="220"/>
      </w:pPr>
      <w:r>
        <w:rPr>
          <w:b/>
          <w:bCs/>
          <w:color w:val="222222"/>
          <w:sz w:val="24"/>
          <w:szCs w:val="24"/>
        </w:rPr>
        <w:t xml:space="preserve">2.4 Regression_v2</w:t>
      </w:r>
    </w:p>
    <w:p>
      <w:pPr>
        <w:spacing w:after="120"/>
      </w:pPr>
      <w:r>
        <w:rPr>
          <w:sz w:val="22"/>
          <w:szCs w:val="22"/>
        </w:rPr>
        <w:t xml:space="preserve">Output sheet for the Data Analysis ToolPak Regression tool. Dependent variable (Input Y Range): crop_yield. Independent variables (Input X Range, contiguous): farm_size_hectares, rainfall_mm, soil_quality_index, fertilizer_kg, sunlight_hours. Residuals and Residual Plots options were both enabled at run time, producing five embedded scatter charts (one per predictor, residual on the y-axis).</w:t>
      </w:r>
    </w:p>
    <w:p>
      <w:pPr>
        <w:pStyle w:val="Heading2"/>
        <w:spacing w:after="100" w:before="220"/>
      </w:pPr>
      <w:r>
        <w:rPr>
          <w:b/>
          <w:bCs/>
          <w:color w:val="222222"/>
          <w:sz w:val="24"/>
          <w:szCs w:val="24"/>
        </w:rPr>
        <w:t xml:space="preserve">2.5 Dashboard</w:t>
      </w:r>
    </w:p>
    <w:p>
      <w:pPr>
        <w:spacing w:after="120"/>
      </w:pPr>
      <w:r>
        <w:rPr>
          <w:sz w:val="22"/>
          <w:szCs w:val="22"/>
        </w:rPr>
        <w:t xml:space="preserve">Presentation sheet. Contains four KPI text boxes (Average Crop Yield, Average Farm Size, R² of the model, Number of Observations), a slicer bound to farm_size_band, and five chart objects copied from EDA: the coefficient/impact bar chart, three grouped-average bar charts (by farm size band, by fertilizer band, by soil quality), and one line chart (average yield trend against farm_size_hectares).</w:t>
      </w:r>
    </w:p>
    <w:p>
      <w:pPr>
        <w:pStyle w:val="Heading2"/>
        <w:spacing w:after="100" w:before="220"/>
      </w:pPr>
      <w:r>
        <w:rPr>
          <w:b/>
          <w:bCs/>
          <w:color w:val="222222"/>
          <w:sz w:val="24"/>
          <w:szCs w:val="24"/>
        </w:rPr>
        <w:t xml:space="preserve">2.6 Executive_Summary</w:t>
      </w:r>
    </w:p>
    <w:p>
      <w:pPr>
        <w:spacing w:after="120"/>
      </w:pPr>
      <w:r>
        <w:rPr>
          <w:sz w:val="22"/>
          <w:szCs w:val="22"/>
        </w:rPr>
        <w:t xml:space="preserve">Plain-text narrative sheet: Objective, Findings, Interpretation, Modeling Approach, and Limitation/Caveat sections. No formulas — this sheet is manually maintained and must be updated by hand if the model in Regression_v2 changes (see Deliverable 3, Section 4).</w:t>
      </w:r>
    </w:p>
    <w:p>
      <w:pPr>
        <w:spacing w:after="120"/>
      </w:pPr>
    </w:p>
    <w:p>
      <w:pPr>
        <w:pStyle w:val="Heading1"/>
        <w:pBdr>
          <w:bottom w:val="single" w:color="1F4E5C" w:sz="6"/>
        </w:pBdr>
        <w:spacing w:after="160" w:before="320"/>
      </w:pPr>
      <w:r>
        <w:rPr>
          <w:b/>
          <w:bCs/>
          <w:color w:val="1F4E5C"/>
          <w:sz w:val="28"/>
          <w:szCs w:val="28"/>
        </w:rPr>
        <w:t xml:space="preserve">3. Data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3F3F3" w:val="clear"/>
            <w:tcMar>
              <w:top w:type="dxa" w:w="100"/>
              <w:left w:type="dxa" w:w="180"/>
              <w:bottom w:type="dxa" w:w="100"/>
              <w:right w:type="dxa" w:w="180"/>
            </w:tcMar>
          </w:tcPr>
          <w:p>
            <w:r>
              <w:rPr>
                <w:rFonts w:ascii="Consolas" w:cs="Consolas" w:eastAsia="Consolas" w:hAnsi="Consolas"/>
                <w:color w:val="1A1A1A"/>
                <w:sz w:val="20"/>
                <w:szCs w:val="20"/>
              </w:rPr>
              <w:t xml:space="preserve">Raw_Data (tbl_raw)
  -&gt; Cleaned_Data (tbl_clean)  [+ farm_size_band]
       -&gt; EDA (3 PivotTables + coefficient table)
       -&gt; Regression_v2 (OLS model + residual diagnostics)
            -&gt; Dashboard (KPIs + charts, sourced from EDA and Regression_v2)
            -&gt; Executive_Summary (manually authored, references Regression_v2 output)</w:t>
            </w:r>
          </w:p>
        </w:tc>
      </w:tr>
    </w:tbl>
    <w:p>
      <w:pPr>
        <w:spacing w:after="120"/>
      </w:pPr>
    </w:p>
    <w:p>
      <w:pPr>
        <w:pStyle w:val="Heading1"/>
        <w:pBdr>
          <w:bottom w:val="single" w:color="1F4E5C" w:sz="6"/>
        </w:pBdr>
        <w:spacing w:after="160" w:before="320"/>
      </w:pPr>
      <w:r>
        <w:rPr>
          <w:b/>
          <w:bCs/>
          <w:color w:val="1F4E5C"/>
          <w:sz w:val="28"/>
          <w:szCs w:val="28"/>
        </w:rPr>
        <w:t xml:space="preserve">4. Statistical Model Specification</w:t>
      </w:r>
    </w:p>
    <w:p>
      <w:pPr>
        <w:spacing w:after="120"/>
      </w:pPr>
      <w:r>
        <w:rPr>
          <w:sz w:val="22"/>
          <w:szCs w:val="22"/>
        </w:rPr>
        <w:t xml:space="preserve">The production model is a single-equation Ordinary Least Squares regression: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3F3F3" w:val="clear"/>
            <w:tcMar>
              <w:top w:type="dxa" w:w="100"/>
              <w:left w:type="dxa" w:w="180"/>
              <w:bottom w:type="dxa" w:w="100"/>
              <w:right w:type="dxa" w:w="180"/>
            </w:tcMar>
          </w:tcPr>
          <w:p>
            <w:r>
              <w:rPr>
                <w:rFonts w:ascii="Consolas" w:cs="Consolas" w:eastAsia="Consolas" w:hAnsi="Consolas"/>
                <w:color w:val="1A1A1A"/>
                <w:sz w:val="20"/>
                <w:szCs w:val="20"/>
              </w:rPr>
              <w:t xml:space="preserve">crop_yield = β0 + β1(farm_size_hectares) + β2(rainfall_mm)
             + β3(soil_quality_index) + β4(fertilizer_kg)
             + β5(sunlight_hours) + ε</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C" w:val="clear"/>
            <w:tcMar>
              <w:top w:type="dxa" w:w="80"/>
              <w:left w:type="dxa" w:w="100"/>
              <w:bottom w:type="dxa" w:w="80"/>
              <w:right w:type="dxa" w:w="100"/>
            </w:tcMar>
            <w:vAlign w:val="center"/>
          </w:tcPr>
          <w:p>
            <w:r>
              <w:rPr>
                <w:b/>
                <w:bCs/>
                <w:color w:val="FFFFFF"/>
                <w:sz w:val="19"/>
                <w:szCs w:val="19"/>
              </w:rPr>
              <w:t xml:space="preserve">Term</w:t>
            </w:r>
          </w:p>
        </w:tc>
        <w:tc>
          <w:tcPr>
            <w:tcW w:type="dxa" w:w="4680"/>
            <w:shd w:fill="1F4E5C" w:val="clear"/>
            <w:tcMar>
              <w:top w:type="dxa" w:w="80"/>
              <w:left w:type="dxa" w:w="100"/>
              <w:bottom w:type="dxa" w:w="80"/>
              <w:right w:type="dxa" w:w="100"/>
            </w:tcMar>
            <w:vAlign w:val="center"/>
          </w:tcPr>
          <w:p>
            <w:r>
              <w:rPr>
                <w:b/>
                <w:bCs/>
                <w:color w:val="FFFFFF"/>
                <w:sz w:val="19"/>
                <w:szCs w:val="19"/>
              </w:rPr>
              <w:t xml:space="preserve">Estimated coefficient</w:t>
            </w:r>
          </w:p>
        </w:tc>
      </w:tr>
      <w:tr>
        <w:tc>
          <w:tcPr>
            <w:tcW w:type="dxa" w:w="4680"/>
            <w:shd w:fill="FFFFFF" w:val="clear"/>
            <w:tcMar>
              <w:top w:type="dxa" w:w="70"/>
              <w:left w:type="dxa" w:w="100"/>
              <w:bottom w:type="dxa" w:w="70"/>
              <w:right w:type="dxa" w:w="100"/>
            </w:tcMar>
          </w:tcPr>
          <w:p>
            <w:r>
              <w:rPr>
                <w:sz w:val="19"/>
                <w:szCs w:val="19"/>
              </w:rPr>
              <w:t xml:space="preserve">Intercept (β0)</w:t>
            </w:r>
          </w:p>
        </w:tc>
        <w:tc>
          <w:tcPr>
            <w:tcW w:type="dxa" w:w="4680"/>
            <w:shd w:fill="FFFFFF" w:val="clear"/>
            <w:tcMar>
              <w:top w:type="dxa" w:w="70"/>
              <w:left w:type="dxa" w:w="100"/>
              <w:bottom w:type="dxa" w:w="70"/>
              <w:right w:type="dxa" w:w="100"/>
            </w:tcMar>
          </w:tcPr>
          <w:p>
            <w:r>
              <w:rPr>
                <w:sz w:val="19"/>
                <w:szCs w:val="19"/>
              </w:rPr>
              <w:t xml:space="preserve">-1.9309</w:t>
            </w:r>
          </w:p>
        </w:tc>
      </w:tr>
      <w:tr>
        <w:tc>
          <w:tcPr>
            <w:tcW w:type="dxa" w:w="4680"/>
            <w:shd w:fill="F7F9FA" w:val="clear"/>
            <w:tcMar>
              <w:top w:type="dxa" w:w="70"/>
              <w:left w:type="dxa" w:w="100"/>
              <w:bottom w:type="dxa" w:w="70"/>
              <w:right w:type="dxa" w:w="100"/>
            </w:tcMar>
          </w:tcPr>
          <w:p>
            <w:r>
              <w:rPr>
                <w:sz w:val="19"/>
                <w:szCs w:val="19"/>
              </w:rPr>
              <w:t xml:space="preserve">farm_size_hectares (β1)</w:t>
            </w:r>
          </w:p>
        </w:tc>
        <w:tc>
          <w:tcPr>
            <w:tcW w:type="dxa" w:w="4680"/>
            <w:shd w:fill="F7F9FA" w:val="clear"/>
            <w:tcMar>
              <w:top w:type="dxa" w:w="70"/>
              <w:left w:type="dxa" w:w="100"/>
              <w:bottom w:type="dxa" w:w="70"/>
              <w:right w:type="dxa" w:w="100"/>
            </w:tcMar>
          </w:tcPr>
          <w:p>
            <w:r>
              <w:rPr>
                <w:sz w:val="19"/>
                <w:szCs w:val="19"/>
              </w:rPr>
              <w:t xml:space="preserve">0.49998</w:t>
            </w:r>
          </w:p>
        </w:tc>
      </w:tr>
      <w:tr>
        <w:tc>
          <w:tcPr>
            <w:tcW w:type="dxa" w:w="4680"/>
            <w:shd w:fill="FFFFFF" w:val="clear"/>
            <w:tcMar>
              <w:top w:type="dxa" w:w="70"/>
              <w:left w:type="dxa" w:w="100"/>
              <w:bottom w:type="dxa" w:w="70"/>
              <w:right w:type="dxa" w:w="100"/>
            </w:tcMar>
          </w:tcPr>
          <w:p>
            <w:r>
              <w:rPr>
                <w:sz w:val="19"/>
                <w:szCs w:val="19"/>
              </w:rPr>
              <w:t xml:space="preserve">rainfall_mm (β2)</w:t>
            </w:r>
          </w:p>
        </w:tc>
        <w:tc>
          <w:tcPr>
            <w:tcW w:type="dxa" w:w="4680"/>
            <w:shd w:fill="FFFFFF" w:val="clear"/>
            <w:tcMar>
              <w:top w:type="dxa" w:w="70"/>
              <w:left w:type="dxa" w:w="100"/>
              <w:bottom w:type="dxa" w:w="70"/>
              <w:right w:type="dxa" w:w="100"/>
            </w:tcMar>
          </w:tcPr>
          <w:p>
            <w:r>
              <w:rPr>
                <w:sz w:val="19"/>
                <w:szCs w:val="19"/>
              </w:rPr>
              <w:t xml:space="preserve">0.02999</w:t>
            </w:r>
          </w:p>
        </w:tc>
      </w:tr>
      <w:tr>
        <w:tc>
          <w:tcPr>
            <w:tcW w:type="dxa" w:w="4680"/>
            <w:shd w:fill="F7F9FA" w:val="clear"/>
            <w:tcMar>
              <w:top w:type="dxa" w:w="70"/>
              <w:left w:type="dxa" w:w="100"/>
              <w:bottom w:type="dxa" w:w="70"/>
              <w:right w:type="dxa" w:w="100"/>
            </w:tcMar>
          </w:tcPr>
          <w:p>
            <w:r>
              <w:rPr>
                <w:sz w:val="19"/>
                <w:szCs w:val="19"/>
              </w:rPr>
              <w:t xml:space="preserve">soil_quality_index (β3)</w:t>
            </w:r>
          </w:p>
        </w:tc>
        <w:tc>
          <w:tcPr>
            <w:tcW w:type="dxa" w:w="4680"/>
            <w:shd w:fill="F7F9FA" w:val="clear"/>
            <w:tcMar>
              <w:top w:type="dxa" w:w="70"/>
              <w:left w:type="dxa" w:w="100"/>
              <w:bottom w:type="dxa" w:w="70"/>
              <w:right w:type="dxa" w:w="100"/>
            </w:tcMar>
          </w:tcPr>
          <w:p>
            <w:r>
              <w:rPr>
                <w:sz w:val="19"/>
                <w:szCs w:val="19"/>
              </w:rPr>
              <w:t xml:space="preserve">2.00078</w:t>
            </w:r>
          </w:p>
        </w:tc>
      </w:tr>
      <w:tr>
        <w:tc>
          <w:tcPr>
            <w:tcW w:type="dxa" w:w="4680"/>
            <w:shd w:fill="FFFFFF" w:val="clear"/>
            <w:tcMar>
              <w:top w:type="dxa" w:w="70"/>
              <w:left w:type="dxa" w:w="100"/>
              <w:bottom w:type="dxa" w:w="70"/>
              <w:right w:type="dxa" w:w="100"/>
            </w:tcMar>
          </w:tcPr>
          <w:p>
            <w:r>
              <w:rPr>
                <w:sz w:val="19"/>
                <w:szCs w:val="19"/>
              </w:rPr>
              <w:t xml:space="preserve">fertilizer_kg (β4)</w:t>
            </w:r>
          </w:p>
        </w:tc>
        <w:tc>
          <w:tcPr>
            <w:tcW w:type="dxa" w:w="4680"/>
            <w:shd w:fill="FFFFFF" w:val="clear"/>
            <w:tcMar>
              <w:top w:type="dxa" w:w="70"/>
              <w:left w:type="dxa" w:w="100"/>
              <w:bottom w:type="dxa" w:w="70"/>
              <w:right w:type="dxa" w:w="100"/>
            </w:tcMar>
          </w:tcPr>
          <w:p>
            <w:r>
              <w:rPr>
                <w:sz w:val="19"/>
                <w:szCs w:val="19"/>
              </w:rPr>
              <w:t xml:space="preserve">0.01999</w:t>
            </w:r>
          </w:p>
        </w:tc>
      </w:tr>
      <w:tr>
        <w:tc>
          <w:tcPr>
            <w:tcW w:type="dxa" w:w="4680"/>
            <w:shd w:fill="F7F9FA" w:val="clear"/>
            <w:tcMar>
              <w:top w:type="dxa" w:w="70"/>
              <w:left w:type="dxa" w:w="100"/>
              <w:bottom w:type="dxa" w:w="70"/>
              <w:right w:type="dxa" w:w="100"/>
            </w:tcMar>
          </w:tcPr>
          <w:p>
            <w:r>
              <w:rPr>
                <w:sz w:val="19"/>
                <w:szCs w:val="19"/>
              </w:rPr>
              <w:t xml:space="preserve">sunlight_hours (β5)</w:t>
            </w:r>
          </w:p>
        </w:tc>
        <w:tc>
          <w:tcPr>
            <w:tcW w:type="dxa" w:w="4680"/>
            <w:shd w:fill="F7F9FA" w:val="clear"/>
            <w:tcMar>
              <w:top w:type="dxa" w:w="70"/>
              <w:left w:type="dxa" w:w="100"/>
              <w:bottom w:type="dxa" w:w="70"/>
              <w:right w:type="dxa" w:w="100"/>
            </w:tcMar>
          </w:tcPr>
          <w:p>
            <w:r>
              <w:rPr>
                <w:sz w:val="19"/>
                <w:szCs w:val="19"/>
              </w:rPr>
              <w:t xml:space="preserve">0.09480</w:t>
            </w:r>
          </w:p>
        </w:tc>
      </w:tr>
    </w:tbl>
    <w:p>
      <w:pPr>
        <w:spacing w:after="120"/>
      </w:pPr>
    </w:p>
    <w:p>
      <w:pPr>
        <w:spacing w:after="120"/>
      </w:pPr>
      <w:r>
        <w:rPr>
          <w:sz w:val="22"/>
          <w:szCs w:val="22"/>
        </w:rPr>
        <w:t xml:space="preserve">Model fit: R² = 0.999996, n = 3,000, Significance F ≈ 0 (p &lt; 0.001). Independently reproduced outside Excel from the raw formulas and matched to full precision — see Section 5.</w:t>
      </w:r>
    </w:p>
    <w:p>
      <w:pPr>
        <w:spacing w:after="120"/>
      </w:pPr>
    </w:p>
    <w:p>
      <w:pPr>
        <w:pStyle w:val="Heading1"/>
        <w:pBdr>
          <w:bottom w:val="single" w:color="1F4E5C" w:sz="6"/>
        </w:pBdr>
        <w:spacing w:after="160" w:before="320"/>
      </w:pPr>
      <w:r>
        <w:rPr>
          <w:b/>
          <w:bCs/>
          <w:color w:val="1F4E5C"/>
          <w:sz w:val="28"/>
          <w:szCs w:val="28"/>
        </w:rPr>
        <w:t xml:space="preserve">5. Validation &amp; Quality Assurance Architecture</w:t>
      </w:r>
    </w:p>
    <w:p>
      <w:pPr>
        <w:spacing w:after="120"/>
      </w:pPr>
      <w:r>
        <w:rPr>
          <w:sz w:val="22"/>
          <w:szCs w:val="22"/>
        </w:rPr>
        <w:t xml:space="preserve">Two independent verification passes are built into this project's QA process:</w:t>
      </w:r>
    </w:p>
    <w:p>
      <w:pPr>
        <w:pStyle w:val="Heading2"/>
        <w:spacing w:after="100" w:before="220"/>
      </w:pPr>
      <w:r>
        <w:rPr>
          <w:b/>
          <w:bCs/>
          <w:color w:val="222222"/>
          <w:sz w:val="24"/>
          <w:szCs w:val="24"/>
        </w:rPr>
        <w:t xml:space="preserve">5.1 Dataset integrity check</w:t>
      </w:r>
    </w:p>
    <w:p>
      <w:pPr>
        <w:spacing w:after="120"/>
      </w:pPr>
      <w:r>
        <w:rPr>
          <w:sz w:val="22"/>
          <w:szCs w:val="22"/>
        </w:rPr>
        <w:t xml:space="preserve">Cleaned_Data's six base columns were diffed cell-by-cell against Raw_Data: confirmed identical, with zero null values and zero duplicate rows across all 3,000 records.</w:t>
      </w:r>
    </w:p>
    <w:p>
      <w:pPr>
        <w:pStyle w:val="Heading2"/>
        <w:spacing w:after="100" w:before="220"/>
      </w:pPr>
      <w:r>
        <w:rPr>
          <w:b/>
          <w:bCs/>
          <w:color w:val="222222"/>
          <w:sz w:val="24"/>
          <w:szCs w:val="24"/>
        </w:rPr>
        <w:t xml:space="preserve">5.2 Residual validation gate</w:t>
      </w:r>
    </w:p>
    <w:p>
      <w:pPr>
        <w:spacing w:after="120"/>
      </w:pPr>
      <w:r>
        <w:rPr>
          <w:sz w:val="22"/>
          <w:szCs w:val="22"/>
        </w:rPr>
        <w:t xml:space="preserve">This is the project's core quality gate and must be re-run any time the model is refit (see Deliverable 3). The check: correlate the regression residuals against each of the five predictors. A correctly specified model should show no relationship between residuals and any predictor. Result: correlation coefficients ranging from roughly 10⁻¹³ to 10⁻¹⁵ against the five predictors — numerically zero in every case, confirming the residual scatter (visible in the five Regression_v2 charts) is patternless, not merely visually flat.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AF1F2" w:val="clear"/>
            <w:tcMar>
              <w:top w:type="dxa" w:w="120"/>
              <w:left w:type="dxa" w:w="200"/>
              <w:bottom w:type="dxa" w:w="120"/>
              <w:right w:type="dxa" w:w="200"/>
            </w:tcMar>
          </w:tcPr>
          <w:p>
            <w:pPr>
              <w:spacing w:after="40"/>
            </w:pPr>
            <w:r>
              <w:rPr>
                <w:b/>
                <w:bCs/>
                <w:color w:val="1F4E5C"/>
                <w:sz w:val="20"/>
                <w:szCs w:val="20"/>
              </w:rPr>
              <w:t xml:space="preserve">Why this gate exists</w:t>
            </w:r>
          </w:p>
          <w:p>
            <w:r>
              <w:rPr>
                <w:sz w:val="20"/>
                <w:szCs w:val="20"/>
              </w:rPr>
              <w:t xml:space="preserve">An earlier version of this model (an efficiency ratio, since removed — see Section 6) failed this exact check: its residuals showed a clear hyperbolic curve against farm size, which is what led to the discovery and correction described below. Every future refit of this model must pass this same check before being trusted.</w:t>
            </w:r>
          </w:p>
        </w:tc>
      </w:tr>
    </w:tbl>
    <w:p>
      <w:pPr>
        <w:spacing w:after="120"/>
      </w:pPr>
    </w:p>
    <w:p>
      <w:pPr>
        <w:pStyle w:val="Heading1"/>
        <w:pBdr>
          <w:bottom w:val="single" w:color="1F4E5C" w:sz="6"/>
        </w:pBdr>
        <w:spacing w:after="160" w:before="320"/>
      </w:pPr>
      <w:r>
        <w:rPr>
          <w:b/>
          <w:bCs/>
          <w:color w:val="1F4E5C"/>
          <w:sz w:val="28"/>
          <w:szCs w:val="28"/>
        </w:rPr>
        <w:t xml:space="preserve">6. Known Defect, Root Cause, and Correction (Architectural Record)</w:t>
      </w:r>
    </w:p>
    <w:p>
      <w:pPr>
        <w:spacing w:after="120"/>
      </w:pPr>
      <w:r>
        <w:rPr>
          <w:sz w:val="22"/>
          <w:szCs w:val="22"/>
        </w:rPr>
        <w:t xml:space="preserve">An earlier architecture computed a derived field, yield_per_hectare = crop_yield ÷ farm_size_hectares, and built all downstream modeling, charting, and reporting on that derived field instead of on crop_yield directly.</w:t>
      </w:r>
    </w:p>
    <w:p>
      <w:pPr>
        <w:pStyle w:val="Heading2"/>
        <w:spacing w:after="100" w:before="220"/>
      </w:pPr>
      <w:r>
        <w:rPr>
          <w:b/>
          <w:bCs/>
          <w:color w:val="222222"/>
          <w:sz w:val="24"/>
          <w:szCs w:val="24"/>
        </w:rPr>
        <w:t xml:space="preserve">6.1 Root cause</w:t>
      </w:r>
    </w:p>
    <w:p>
      <w:pPr>
        <w:spacing w:after="120"/>
      </w:pPr>
      <w:r>
        <w:rPr>
          <w:sz w:val="22"/>
          <w:szCs w:val="22"/>
        </w:rPr>
        <w:t xml:space="preserve">crop_yield is not an independent per-hectare density — it scales almost linearly with farm_size_hectares (r = 0.989) and contains a fixed, non-scaling baseline component (the regression intercept and the smaller input effects). Dividing a variable with a fixed component by the same variable used as the divisor mechanically produces a hyperbolic decay pattern (approximately 0.5 + constant ÷ farm_size). This is a mathematical identity, not an agronomic effect.</w:t>
      </w:r>
    </w:p>
    <w:p>
      <w:pPr>
        <w:pStyle w:val="Heading2"/>
        <w:spacing w:after="100" w:before="220"/>
      </w:pPr>
      <w:r>
        <w:rPr>
          <w:b/>
          <w:bCs/>
          <w:color w:val="222222"/>
          <w:sz w:val="24"/>
          <w:szCs w:val="24"/>
        </w:rPr>
        <w:t xml:space="preserve">6.2 Diagnostic evidence</w:t>
      </w:r>
    </w:p>
    <w:p>
      <w:pPr>
        <w:spacing w:after="120"/>
      </w:pPr>
      <w:r>
        <w:rPr>
          <w:sz w:val="22"/>
          <w:szCs w:val="22"/>
        </w:rPr>
        <w:t xml:space="preserve">A model containing only the term 1 ÷ farm_size_hectares explained 78.9% of the variance the full five-variable ratio-based model claimed to explain (79.7%) — meaning roughly 99% of that model's apparent explanatory power was the mathematical artifact described above, not a genuine relationship between farm size and per-hectare efficiency.</w:t>
      </w:r>
    </w:p>
    <w:p>
      <w:pPr>
        <w:pStyle w:val="Heading2"/>
        <w:spacing w:after="100" w:before="220"/>
      </w:pPr>
      <w:r>
        <w:rPr>
          <w:b/>
          <w:bCs/>
          <w:color w:val="222222"/>
          <w:sz w:val="24"/>
          <w:szCs w:val="24"/>
        </w:rPr>
        <w:t xml:space="preserve">6.3 Corrective action taken</w:t>
      </w:r>
    </w:p>
    <w:p>
      <w:pPr>
        <w:pStyle w:val="ListParagraph"/>
        <w:numPr>
          <w:ilvl w:val="0"/>
          <w:numId w:val="2"/>
        </w:numPr>
        <w:spacing w:after="60"/>
      </w:pPr>
      <w:r>
        <w:rPr>
          <w:sz w:val="22"/>
          <w:szCs w:val="22"/>
        </w:rPr>
        <w:t xml:space="preserve">All sheets built on the ratio field (previously named Model_Data, Model_Data3, Analysis, Regression_Output, Residual_Analysis, Regression_Model_2/3, Charts, and the original Executive_Summary) were deleted in full, not patched.</w:t>
      </w:r>
    </w:p>
    <w:p>
      <w:pPr>
        <w:pStyle w:val="ListParagraph"/>
        <w:numPr>
          <w:ilvl w:val="0"/>
          <w:numId w:val="2"/>
        </w:numPr>
        <w:spacing w:after="60"/>
      </w:pPr>
      <w:r>
        <w:rPr>
          <w:sz w:val="22"/>
          <w:szCs w:val="22"/>
        </w:rPr>
        <w:t xml:space="preserve">The model was rebuilt on crop_yield directly, with farm_size_hectares included as a regressor rather than a divisor (Section 4).</w:t>
      </w:r>
    </w:p>
    <w:p>
      <w:pPr>
        <w:pStyle w:val="ListParagraph"/>
        <w:numPr>
          <w:ilvl w:val="0"/>
          <w:numId w:val="2"/>
        </w:numPr>
        <w:spacing w:after="60"/>
      </w:pPr>
      <w:r>
        <w:rPr>
          <w:sz w:val="22"/>
          <w:szCs w:val="22"/>
        </w:rPr>
        <w:t xml:space="preserve">The residual validation gate (Section 5.2) was introduced as a standing requirement for this and any future model revision.</w:t>
      </w:r>
    </w:p>
    <w:p>
      <w:pPr>
        <w:spacing w:after="120"/>
      </w:pPr>
    </w:p>
    <w:p>
      <w:pPr>
        <w:pStyle w:val="Heading1"/>
        <w:pBdr>
          <w:bottom w:val="single" w:color="1F4E5C" w:sz="6"/>
        </w:pBdr>
        <w:spacing w:after="160" w:before="320"/>
      </w:pPr>
      <w:r>
        <w:rPr>
          <w:b/>
          <w:bCs/>
          <w:color w:val="1F4E5C"/>
          <w:sz w:val="28"/>
          <w:szCs w:val="28"/>
        </w:rPr>
        <w:t xml:space="preserve">7. Explicitly Out of Scope</w:t>
      </w:r>
    </w:p>
    <w:p>
      <w:pPr>
        <w:pStyle w:val="ListParagraph"/>
        <w:numPr>
          <w:ilvl w:val="0"/>
          <w:numId w:val="2"/>
        </w:numPr>
        <w:spacing w:after="60"/>
      </w:pPr>
      <w:r>
        <w:rPr>
          <w:sz w:val="22"/>
          <w:szCs w:val="22"/>
        </w:rPr>
        <w:t xml:space="preserve">Power Query — not used. All transformation is done via in-cell formulas on Excel Tables; there are no Get &amp; Transform queries or connections in this workbook.</w:t>
      </w:r>
    </w:p>
    <w:p>
      <w:pPr>
        <w:pStyle w:val="ListParagraph"/>
        <w:numPr>
          <w:ilvl w:val="0"/>
          <w:numId w:val="2"/>
        </w:numPr>
        <w:spacing w:after="60"/>
      </w:pPr>
      <w:r>
        <w:rPr>
          <w:sz w:val="22"/>
          <w:szCs w:val="22"/>
        </w:rPr>
        <w:t xml:space="preserve">Power BI / DAX — not used. This is a single-file Excel deliverable with no external data model or Power Pivot layer.</w:t>
      </w:r>
    </w:p>
    <w:p>
      <w:pPr>
        <w:pStyle w:val="ListParagraph"/>
        <w:numPr>
          <w:ilvl w:val="0"/>
          <w:numId w:val="2"/>
        </w:numPr>
        <w:spacing w:after="60"/>
      </w:pPr>
      <w:r>
        <w:rPr>
          <w:sz w:val="22"/>
          <w:szCs w:val="22"/>
        </w:rPr>
        <w:t xml:space="preserve">External database connections — none. The workbook is fully self-contained with no external links.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360"/>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abstractNum w:abstractNumId="9"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2026-09-18T07:48:17.245Z</dcterms:created>
  <dcterms:modified xsi:type="dcterms:W3CDTF">2026-09-18T07:48:17.246Z</dcterms:modified>
</cp:coreProperties>
</file>

<file path=docProps/custom.xml><?xml version="1.0" encoding="utf-8"?>
<Properties xmlns="http://schemas.openxmlformats.org/officeDocument/2006/custom-properties" xmlns:vt="http://schemas.openxmlformats.org/officeDocument/2006/docPropsVTypes"/>
</file>