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System Architecture and Technical Documentation</w:t>
      </w:r>
    </w:p>
    <w:p>
      <w:pPr>
        <w:spacing w:after="120"/>
      </w:pPr>
      <w:r>
        <w:t xml:space="preserve">Synthetic Agricultural Yield Analytics (Project 3)  |  Author: John O. Ezekiel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solution is a single Excel workbook (.xlsm). Data is loaded from a CSV with Power Query, summarised in PivotTables, and displayed on a dashboard sheet with charts, KPI cards and slicers.</w:t>
      </w:r>
    </w:p>
    <w:p>
      <w:pPr>
        <w:pStyle w:val="Heading1"/>
      </w:pPr>
      <w:r>
        <w:t xml:space="preserve">2. Data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Source: crop_yield_data.csv (3,000 rows, 6 fields).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Query loads the CSV, adds farm_id, renames crop_yield to gross_yield_tons, and adds the derived fields yield_rate_tons_per_ha, fertilizer_kg_per_ha, farm_scale, soil_quality_tier and rainfall_zone.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loads to the table crop_yield_data on the sheet crop_yield_data (3,000 rows, 12 columns).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PivotTables on EDA_Analysis summarise the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Charts, KPI cards and slicers on the Dashboard sheet read from the PivotTables. A separate sheet, Correlation_Check, holds one correlation value.</w:t>
      </w:r>
    </w:p>
    <w:p>
      <w:pPr>
        <w:pStyle w:val="Heading1"/>
      </w:pPr>
      <w:r>
        <w:t xml:space="preserve">3. Workbook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 cards, three charts, two slicers.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EDA_Analysis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PivotTables that feed the charts and KPI cards.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Correlation_Check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 between farm size (ha) and gross yield (tons), calculated with one CORREL formula.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crop_yield_data</w:t>
            </w:r>
          </w:p>
        </w:tc>
        <w:tc>
          <w:tcPr>
            <w:tcW w:type="dxa" w:w="7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table crop_yield_data (columns A–L).</w:t>
            </w:r>
          </w:p>
        </w:tc>
      </w:tr>
    </w:tbl>
    <w:p>
      <w:pPr>
        <w:pStyle w:val="Heading1"/>
      </w:pPr>
      <w:r>
        <w:t xml:space="preserve">4. Derived Field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gross_yield_tons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crop_yield, renamed.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yield_rate_tons_per_ha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gross_yield_tons ÷ farm_size_hectares.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fertilizer_kg_per_ha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fertilizer_kg (already per hectare; not divided by area).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farm_scale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250 ha Smallholder; 251–600 ha Mid-Scale; &gt; 600 ha Commercial.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soil_quality_tier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 1–3 Poor; 4–7 Moderate; 8–10 High.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rainfall_zone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500–1,000 mm Low; 1,001–1,500 mm Medium; 1,501–2,000 mm High.</w:t>
            </w:r>
          </w:p>
        </w:tc>
      </w:tr>
    </w:tbl>
    <w:p>
      <w:pPr>
        <w:pStyle w:val="Heading1"/>
      </w:pPr>
      <w:r>
        <w:t xml:space="preserve">5. Dashboard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460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 Efficiency Matrix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chart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yield rate (tons/ha) by farm scale, split by soil quality tier.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Environmental Precipitation Impact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and line chart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gross yield (tons) by farm scale, split by rainfall zone.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Input Density Audit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chart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fertilizer rate (kg/ha) and average yield rate (tons/ha) by farm scale.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 cards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PivotTable (KPI CARD)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gross yield, total farm area, weighted yield rate, average fertilizer rate, taken from measures in the workbook Data Model.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Slicers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Filters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 quality tier and rainfall zone.</w:t>
            </w:r>
          </w:p>
        </w:tc>
      </w:tr>
    </w:tbl>
    <w:p>
      <w:pPr>
        <w:pStyle w:val="Heading1"/>
      </w:pPr>
      <w:r>
        <w:t xml:space="preserve">6. KPI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Calculation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gross yield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SUM(gross_yield_tons)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farm area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SUM(farm_size_hectares)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Weighted yield rate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SUM(gross_yield_tons) ÷ SUM(farm_size_hectares)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fertilizer rate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AVERAGE(fertilizer_kg)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 (Correlation_Check)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CORREL(farm_size_hectares, gross_yield_tons) = 0.989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weighted yield rate divides total output by total area, so larger farms carry proportionally more weight than in an average of per-farm rates.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2E5E3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2E5E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2026-09-28T17:45:41.831Z</dcterms:created>
  <dcterms:modified xsi:type="dcterms:W3CDTF">2026-09-28T17:45:41.831Z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