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Operating and Maintenance Manual</w:t>
      </w:r>
    </w:p>
    <w:p>
      <w:pPr>
        <w:spacing w:after="120"/>
      </w:pPr>
      <w:r>
        <w:t xml:space="preserve">Synthetic Agricultural Yield Analytics (Project 3)  |  Author: John O. Ezekiel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manual explains how to read and maintain the Crop Yield dashboard. The data is synthetic, so the dashboard illustrates an analysis workflow and does not describe real farms.</w:t>
      </w:r>
    </w:p>
    <w:p>
      <w:pPr>
        <w:pStyle w:val="Heading1"/>
      </w:pPr>
      <w:r>
        <w:t xml:space="preserve">2. Reading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cards (top): total gross yield (tons), total farm area (ha), weighted yield rate (tons/ha), average fertilizer rate (kg/ha).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 Efficiency Matrix: average yield rate by farm scale, coloured by soil quality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Environmental Precipitation Impact: average gross yield by farm scale, coloured by rainfall 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Input Density Audit: average fertilizer rate and average yield rate by farm scale.</w:t>
      </w:r>
    </w:p>
    <w:p>
      <w:pPr>
        <w:pStyle w:val="Heading1"/>
      </w:pPr>
      <w:r>
        <w:t xml:space="preserve">3. Using the Slicers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a Soil Quality Tier (Poor, Moderate, High) or a Rainfall Zone (Low, Medium, High) to filter the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Hold Ctrl to select more than one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clear-filter icon on the slicer to reset.</w:t>
      </w:r>
    </w:p>
    <w:p>
      <w:pPr>
        <w:spacing w:after="120"/>
      </w:pPr>
      <w:r>
        <w:t xml:space="preserve">Filters change the values shown in the charts and KPI cards.</w:t>
      </w:r>
    </w:p>
    <w:p>
      <w:pPr>
        <w:pStyle w:val="Heading1"/>
      </w:pPr>
      <w:r>
        <w:t xml:space="preserve">4. Interpreting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Yield rate is output divided by farm area. Differences between farm scales partly reflect that division.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Values are group averages. They show what this dataset contains and do not show cause and effect.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Fertilizer rate is per hectare and is averaged, not summed.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Correlation_Check shows the correlation between farm size and gross yield (0.989). It describes how the two columns move together and does not show cause and effect.</w:t>
      </w:r>
    </w:p>
    <w:p>
      <w:pPr>
        <w:pStyle w:val="Heading1"/>
      </w:pPr>
      <w:r>
        <w:t xml:space="preserve">5.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data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tab → Refresh All. Then right-click each PivotTable on EDA_Analysis → Refresh.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the source file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the source path in the Power Query connection, then Refresh All. The new file must have the same six columns.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category cut points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Power Query Editor, edit the farm_scale, soil_quality_tier or rainfall_zone step, then Close &amp; Load and refresh the PivotTables.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after refresh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count in crop_yield_data is 3,000; total gross yield is 984,297; average fertilizer rate is about 1,549 kg/ha; the value on Correlation_Check is about 0.989.</w:t>
            </w:r>
          </w:p>
        </w:tc>
      </w:tr>
    </w:tbl>
    <w:p>
      <w:pPr>
        <w:pStyle w:val="Heading1"/>
      </w:pPr>
      <w: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location, date or crop-type fields, so no regional, seasonal or crop-level 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Farm scale, soil tier and rainfall zone cut points are analyst-defined.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2E5E3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2E5E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2026-09-28T17:45:41.845Z</dcterms:created>
  <dcterms:modified xsi:type="dcterms:W3CDTF">2026-09-28T17:45:41.845Z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