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240"/>
        <w:jc w:val="center"/>
      </w:pPr>
      <w:r>
        <w:rPr>
          <w:b/>
          <w:bCs/>
          <w:color w:val="1F3864"/>
          <w:sz w:val="44"/>
          <w:szCs w:val="44"/>
        </w:rPr>
        <w:t xml:space="preserve">User Operating &amp; Maintenance Manual</w:t>
      </w:r>
    </w:p>
    <w:p>
      <w:pPr>
        <w:spacing w:after="480"/>
        <w:jc w:val="center"/>
      </w:pPr>
      <w:r>
        <w:rPr>
          <w:color w:val="595959"/>
          <w:sz w:val="26"/>
          <w:szCs w:val="26"/>
        </w:rPr>
        <w:t xml:space="preserve">Global Crop Yield &amp; Agricultural Input Analytics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Report Pages</w:t>
      </w:r>
    </w:p>
    <w:p>
      <w:pPr>
        <w:pStyle w:val="Heading2"/>
        <w:spacing w:after="120" w:before="240"/>
      </w:pPr>
      <w:r>
        <w:t xml:space="preserve">Executive Overview</w:t>
      </w:r>
    </w:p>
    <w:p>
      <w:pPr>
        <w:spacing w:after="160"/>
      </w:pPr>
      <w:r>
        <w:t xml:space="preserve">Four headline KPI cards (Observations Analyzed, Average Yield, Yield YoY Growth %, Count of Area), a yield trend line (1990–2013), a top-10-nations bar chart, a crop treemap sized by Average Yield, and a YoY growth-rate variance chart by crop. Filters: crop dropdown, year-range slider.</w:t>
      </w:r>
    </w:p>
    <w:p>
      <w:pPr>
        <w:pStyle w:val="Heading2"/>
        <w:spacing w:after="120" w:before="240"/>
      </w:pPr>
      <w:r>
        <w:t xml:space="preserve">Agronomic &amp; Input Impact</w:t>
      </w:r>
    </w:p>
    <w:p>
      <w:pPr>
        <w:spacing w:after="160"/>
      </w:pPr>
      <w:r>
        <w:t xml:space="preserve">Four KPI cards (Avg Pesticide Use, Yield per Pesticide Tonne, Yield vs. Temp Correlation, Yield vs. Rainfall Correlation), a pesticide-vs-yield scatter chart with a year-by-year play axis, a temperature-vs-yield combo chart, a rainfall-vs-productivity trend line, and an Input Intensity Impact Matrix pivot table. Filters: location dropdown, crop dropdown, year-range slider.</w:t>
      </w:r>
    </w:p>
    <w:p>
      <w:pPr>
        <w:pStyle w:val="Heading2"/>
        <w:spacing w:after="120" w:before="240"/>
      </w:pPr>
      <w:r>
        <w:t xml:space="preserve">Regional &amp; Crop Deep-Dive</w:t>
      </w:r>
    </w:p>
    <w:p>
      <w:pPr>
        <w:spacing w:after="160"/>
      </w:pPr>
      <w:r>
        <w:t xml:space="preserve">Four KPI cards (Top Yielding Crop, Top Producing Nation, Crop Yield Spread Ratio, Active Crop Varieties), a geographic map sized by Average Yield, a Crop Efficiency Benchmarking bar chart, a historical crop trajectory line chart, and a Regional Micro-Analysis Matrix pivot table with drill-down by country. Filters: year-range slider, crop dropdown, location dropdown.</w:t>
      </w:r>
    </w:p>
    <w:p>
      <w:pPr>
        <w:pStyle w:val="Heading1"/>
        <w:spacing w:after="160" w:before="320"/>
      </w:pPr>
      <w:r>
        <w:t xml:space="preserve">2. How to Use the Filters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Crop / location dropdowns: single- or multi-select. Selecting a subset recalculates every measure on the page, including the correlation and ratio measures — these are context-sensitive, not fixed constants.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Year-range slider: drag either handle to narrow the 1990–2013 window. 2003 has no data in the source — the year-over-year growth measures are built to skip this gap correctly rather than showing a false spike or drop at that boundary.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pesticide-vs-yield scatter chart (Agronomic page) includes a play axis — press the play button to animate the chart year by year.</w:t>
      </w:r>
    </w:p>
    <w:p>
      <w:pPr>
        <w:pStyle w:val="Heading1"/>
        <w:spacing w:after="160" w:before="320"/>
      </w:pPr>
      <w:r>
        <w:t xml:space="preserve">3. Reading the KPIs Correctly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Yield is pooled across 10 crop types with very different natural yield scales (roots/tubers vs. cereals). It will not match any single crop's average shown elsewhere on the report — see the Executive Briefing document, Section 3, for the full per-crop breakdown.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Avg Pesticide Use and Average Rainfall are country-year figures, not per-crop figures — filtering to a single crop will not change these two measures' values for a given country-year, since the same reading applies across every crop grown there.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Correlation values measure association only. A correlation near zero (e.g., Yield vs. Rainfall: 0.01) means no meaningful linear relationship was found in this dataset, at this level of aggregation — not that rainfall is unimportant to agriculture in general.</w:t>
      </w:r>
    </w:p>
    <w:p>
      <w:pPr>
        <w:pStyle w:val="Heading1"/>
        <w:spacing w:after="160" w:before="320"/>
      </w:pPr>
      <w:r>
        <w:t xml:space="preserve">4. Maintenance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is static and historical (1990–2013) — no scheduled refresh is required for normal use.</w:t>
      </w:r>
    </w:p>
    <w:p>
      <w:pPr>
        <w:spacing w:after="160"/>
      </w:pPr>
      <w:r>
        <w:rPr>
          <w:b/>
          <w:bCs/>
        </w:rPr>
        <w:t xml:space="preserve">Before sharing this file with anyone else:</w:t>
      </w:r>
    </w:p>
    <w:p>
      <w:pPr>
        <w:spacing w:after="160"/>
      </w:pPr>
      <w:r>
        <w:t xml:space="preserve">The Power Query source step points to an absolute path on the original author's machine. Opening this file on a different machine, or refreshing after receiving it from someone else, will fail with a file-not-found error until this is corrected. Fix: convert the file path to a Power Query parameter, or place the source CSV in a fixed relative location alongside the .pbix and update the Source step accordingly.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the source data is ever updated or replaced, re-check that the non-temperature columns are constant within each Area–Item–Year group before trusting any KPI on a refresh — see System Architecture document, Section 7.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2026-09-27T10:30:41.742Z</dcterms:created>
  <dcterms:modified xsi:type="dcterms:W3CDTF">2026-09-27T10:30:41.742Z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