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Briefing</w:t>
      </w:r>
      <w:r>
        <w:t xml:space="preserve"> </w:t>
      </w:r>
      <w:r>
        <w:t xml:space="preserve">&amp;</w:t>
      </w:r>
      <w:r>
        <w:t xml:space="preserve"> </w:t>
      </w:r>
      <w:r>
        <w:t xml:space="preserve">Business</w:t>
      </w:r>
      <w:r>
        <w:t xml:space="preserve"> </w:t>
      </w:r>
      <w:r>
        <w:t xml:space="preserve">Insights</w:t>
      </w:r>
      <w:r>
        <w:t xml:space="preserve"> </w:t>
      </w:r>
      <w:r>
        <w:t xml:space="preserve">Deck</w:t>
      </w:r>
      <w:r>
        <w:t xml:space="preserve"> </w:t>
      </w:r>
      <w:r>
        <w:t xml:space="preserve">—</w:t>
      </w:r>
      <w:r>
        <w:t xml:space="preserve"> </w:t>
      </w:r>
      <w:r>
        <w:t xml:space="preserve">CORRECTED</w:t>
      </w:r>
    </w:p>
    <w:p>
      <w:pPr>
        <w:pStyle w:val="Author"/>
      </w:pPr>
      <w:r>
        <w:t xml:space="preserve">Nigeria</w:t>
      </w:r>
      <w:r>
        <w:t xml:space="preserve"> </w:t>
      </w:r>
      <w:r>
        <w:t xml:space="preserve">Crop</w:t>
      </w:r>
      <w:r>
        <w:t xml:space="preserve"> </w:t>
      </w:r>
      <w:r>
        <w:t xml:space="preserve">Yield</w:t>
      </w:r>
      <w:r>
        <w:t xml:space="preserve"> </w:t>
      </w:r>
      <w:r>
        <w:t xml:space="preserve">&amp;</w:t>
      </w:r>
      <w:r>
        <w:t xml:space="preserve"> </w:t>
      </w:r>
      <w:r>
        <w:t xml:space="preserve">Climate</w:t>
      </w:r>
      <w:r>
        <w:t xml:space="preserve"> </w:t>
      </w:r>
      <w:r>
        <w:t xml:space="preserve">Analysis,</w:t>
      </w:r>
      <w:r>
        <w:t xml:space="preserve"> </w:t>
      </w:r>
      <w:r>
        <w:t xml:space="preserve">2000–2024</w:t>
      </w:r>
    </w:p>
    <w:p>
      <w:pPr>
        <w:pStyle w:val="FirstParagraph"/>
      </w:pPr>
      <w:r>
        <w:rPr>
          <w:bCs/>
          <w:b/>
        </w:rPr>
        <w:t xml:space="preserve">Correction notice:</w:t>
      </w:r>
      <w:r>
        <w:t xml:space="preserve"> </w:t>
      </w:r>
      <w:r>
        <w:t xml:space="preserve">This replaces the original Executive Briefing in full. The original contained a headline finding (</w:t>
      </w:r>
      <w:r>
        <w:t xml:space="preserve">“</w:t>
      </w:r>
      <w:r>
        <w:t xml:space="preserve">2012 Hydrological Collapse</w:t>
      </w:r>
      <w:r>
        <w:t xml:space="preserve">”</w:t>
      </w:r>
      <w:r>
        <w:t xml:space="preserve">) that is directly contradicted by the project’s own data, an unsupported claim of a</w:t>
      </w:r>
      <w:r>
        <w:t xml:space="preserve"> </w:t>
      </w:r>
      <w:r>
        <w:t xml:space="preserve">“</w:t>
      </w:r>
      <w:r>
        <w:t xml:space="preserve">tight, positive linear correlation,</w:t>
      </w:r>
      <w:r>
        <w:t xml:space="preserve">”</w:t>
      </w:r>
      <w:r>
        <w:t xml:space="preserve"> </w:t>
      </w:r>
      <w:r>
        <w:t xml:space="preserve">and several production/area/yield figures that did not match the model. Every figure below was recomputed directly from the verified data model. Where a claim could not be backed by an actual computation, it has been removed rather than restated with softer wording.</w:t>
      </w:r>
    </w:p>
    <w:p>
      <w:r>
        <w:pict>
          <v:rect style="width:0;height:1.5pt" o:hralign="center" o:hrstd="t" o:hr="t"/>
        </w:pict>
      </w:r>
    </w:p>
    <w:bookmarkStart w:id="20" w:name="scope-stated-plainly"/>
    <w:p>
      <w:pPr>
        <w:pStyle w:val="Heading2"/>
      </w:pPr>
      <w:r>
        <w:t xml:space="preserve">Scope, Stated Plainly</w:t>
      </w:r>
    </w:p>
    <w:p>
      <w:pPr>
        <w:pStyle w:val="FirstParagraph"/>
      </w:pPr>
      <w:r>
        <w:t xml:space="preserve">This briefing describes</w:t>
      </w:r>
      <w:r>
        <w:t xml:space="preserve"> </w:t>
      </w:r>
      <w:r>
        <w:rPr>
          <w:bCs/>
          <w:b/>
        </w:rPr>
        <w:t xml:space="preserve">national-level</w:t>
      </w:r>
      <w:r>
        <w:t xml:space="preserve"> </w:t>
      </w:r>
      <w:r>
        <w:t xml:space="preserve">crop production and yield trends in Nigeria, 2000–2024, alongside an</w:t>
      </w:r>
      <w:r>
        <w:t xml:space="preserve"> </w:t>
      </w:r>
      <w:r>
        <w:rPr>
          <w:bCs/>
          <w:b/>
        </w:rPr>
        <w:t xml:space="preserve">annual rainfall proxy covering a central band of the country</w:t>
      </w:r>
      <w:r>
        <w:t xml:space="preserve"> </w:t>
      </w:r>
      <w:r>
        <w:t xml:space="preserve">(roughly the Middle Belt and parts of the North-West/North-East — see the coverage map note below). It does</w:t>
      </w:r>
      <w:r>
        <w:t xml:space="preserve"> </w:t>
      </w:r>
      <w:r>
        <w:rPr>
          <w:bCs/>
          <w:b/>
        </w:rPr>
        <w:t xml:space="preserve">not</w:t>
      </w:r>
      <w:r>
        <w:t xml:space="preserve"> </w:t>
      </w:r>
      <w:r>
        <w:t xml:space="preserve">cover state- or zone-level food supply, and it does</w:t>
      </w:r>
      <w:r>
        <w:t xml:space="preserve"> </w:t>
      </w:r>
      <w:r>
        <w:rPr>
          <w:bCs/>
          <w:b/>
        </w:rPr>
        <w:t xml:space="preserve">not</w:t>
      </w:r>
      <w:r>
        <w:t xml:space="preserve"> </w:t>
      </w:r>
      <w:r>
        <w:t xml:space="preserve">include trade or import data. Any prior version of this document implying otherwise should be discarded.</w:t>
      </w:r>
    </w:p>
    <w:bookmarkEnd w:id="20"/>
    <w:bookmarkStart w:id="21" w:name="headline-kpis-corrected"/>
    <w:p>
      <w:pPr>
        <w:pStyle w:val="Heading2"/>
      </w:pPr>
      <w:r>
        <w:t xml:space="preserve">Headline KPIs (corrected)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Corrected figure</w:t>
            </w:r>
          </w:p>
        </w:tc>
        <w:tc>
          <w:tcPr/>
          <w:p>
            <w:pPr>
              <w:pStyle w:val="Compact"/>
              <w:jc w:val="left"/>
            </w:pPr>
            <w:r>
              <w:t xml:space="preserve">Previously stated (incorrect)</w:t>
            </w:r>
          </w:p>
        </w:tc>
      </w:tr>
      <w:tr>
        <w:tc>
          <w:tcPr/>
          <w:p>
            <w:pPr>
              <w:pStyle w:val="Compact"/>
              <w:jc w:val="left"/>
            </w:pPr>
            <w:r>
              <w:t xml:space="preserve">Total production, 25-year sum</w:t>
            </w:r>
          </w:p>
        </w:tc>
        <w:tc>
          <w:tcPr/>
          <w:p>
            <w:pPr>
              <w:pStyle w:val="Compact"/>
              <w:jc w:val="left"/>
            </w:pPr>
            <w:r>
              <w:rPr>
                <w:bCs/>
                <w:b/>
              </w:rPr>
              <w:t xml:space="preserve">3.82 billion tonnes</w:t>
            </w:r>
          </w:p>
        </w:tc>
        <w:tc>
          <w:tcPr/>
          <w:p>
            <w:pPr>
              <w:pStyle w:val="Compact"/>
              <w:jc w:val="left"/>
            </w:pPr>
            <w:r>
              <w:t xml:space="preserve">2.41 billion tonnes</w:t>
            </w:r>
          </w:p>
        </w:tc>
      </w:tr>
      <w:tr>
        <w:tc>
          <w:tcPr/>
          <w:p>
            <w:pPr>
              <w:pStyle w:val="Compact"/>
              <w:jc w:val="left"/>
            </w:pPr>
            <w:r>
              <w:t xml:space="preserve">Total land footprint, peak year</w:t>
            </w:r>
          </w:p>
        </w:tc>
        <w:tc>
          <w:tcPr/>
          <w:p>
            <w:pPr>
              <w:pStyle w:val="Compact"/>
              <w:jc w:val="left"/>
            </w:pPr>
            <w:r>
              <w:rPr>
                <w:bCs/>
                <w:b/>
              </w:rPr>
              <w:t xml:space="preserve">60.35 million hectares (2024)</w:t>
            </w:r>
          </w:p>
        </w:tc>
        <w:tc>
          <w:tcPr/>
          <w:p>
            <w:pPr>
              <w:pStyle w:val="Compact"/>
              <w:jc w:val="left"/>
            </w:pPr>
            <w:r>
              <w:t xml:space="preserve">50.8 million hectares (2021)</w:t>
            </w:r>
          </w:p>
        </w:tc>
      </w:tr>
      <w:tr>
        <w:tc>
          <w:tcPr/>
          <w:p>
            <w:pPr>
              <w:pStyle w:val="Compact"/>
              <w:jc w:val="left"/>
            </w:pPr>
            <w:r>
              <w:t xml:space="preserve">Average yield across all crops (unweighted), 2000</w:t>
            </w:r>
          </w:p>
        </w:tc>
        <w:tc>
          <w:tcPr/>
          <w:p>
            <w:pPr>
              <w:pStyle w:val="Compact"/>
              <w:jc w:val="left"/>
            </w:pPr>
            <w:r>
              <w:t xml:space="preserve">3,971 kg/ha</w:t>
            </w:r>
          </w:p>
        </w:tc>
        <w:tc>
          <w:tcPr/>
          <w:p>
            <w:pPr>
              <w:pStyle w:val="Compact"/>
              <w:jc w:val="left"/>
            </w:pPr>
            <w:r>
              <w:t xml:space="preserve">—</w:t>
            </w:r>
          </w:p>
        </w:tc>
      </w:tr>
      <w:tr>
        <w:tc>
          <w:tcPr/>
          <w:p>
            <w:pPr>
              <w:pStyle w:val="Compact"/>
              <w:jc w:val="left"/>
            </w:pPr>
            <w:r>
              <w:t xml:space="preserve">Average yield across all crops (unweighted), 2021</w:t>
            </w:r>
          </w:p>
        </w:tc>
        <w:tc>
          <w:tcPr/>
          <w:p>
            <w:pPr>
              <w:pStyle w:val="Compact"/>
              <w:jc w:val="left"/>
            </w:pPr>
            <w:r>
              <w:t xml:space="preserve">4,368 kg/ha</w:t>
            </w:r>
          </w:p>
        </w:tc>
        <w:tc>
          <w:tcPr/>
          <w:p>
            <w:pPr>
              <w:pStyle w:val="Compact"/>
              <w:jc w:val="left"/>
            </w:pPr>
            <w:r>
              <w:t xml:space="preserve">—</w:t>
            </w:r>
          </w:p>
        </w:tc>
      </w:tr>
      <w:tr>
        <w:tc>
          <w:tcPr/>
          <w:p>
            <w:pPr>
              <w:pStyle w:val="Compact"/>
              <w:jc w:val="left"/>
            </w:pPr>
            <w:r>
              <w:t xml:space="preserve">Yield growth, 2000 → 2021</w:t>
            </w:r>
          </w:p>
        </w:tc>
        <w:tc>
          <w:tcPr/>
          <w:p>
            <w:pPr>
              <w:pStyle w:val="Compact"/>
              <w:jc w:val="left"/>
            </w:pPr>
            <w:r>
              <w:rPr>
                <w:bCs/>
                <w:b/>
              </w:rPr>
              <w:t xml:space="preserve">+10.0%</w:t>
            </w:r>
          </w:p>
        </w:tc>
        <w:tc>
          <w:tcPr/>
          <w:p>
            <w:pPr>
              <w:pStyle w:val="Compact"/>
              <w:jc w:val="left"/>
            </w:pPr>
            <w:r>
              <w:t xml:space="preserve">“</w:t>
            </w:r>
            <w:r>
              <w:t xml:space="preserve">under 3%</w:t>
            </w:r>
            <w:r>
              <w:t xml:space="preserve">”</w:t>
            </w:r>
          </w:p>
        </w:tc>
      </w:tr>
      <w:tr>
        <w:tc>
          <w:tcPr/>
          <w:p>
            <w:pPr>
              <w:pStyle w:val="Compact"/>
              <w:jc w:val="left"/>
            </w:pPr>
            <w:r>
              <w:t xml:space="preserve">Rainfall, 25-year mean (central-grid proxy)</w:t>
            </w:r>
          </w:p>
        </w:tc>
        <w:tc>
          <w:tcPr/>
          <w:p>
            <w:pPr>
              <w:pStyle w:val="Compact"/>
              <w:jc w:val="left"/>
            </w:pPr>
            <w:r>
              <w:t xml:space="preserve">3.03 mm/day</w:t>
            </w:r>
          </w:p>
        </w:tc>
        <w:tc>
          <w:tcPr/>
          <w:p>
            <w:pPr>
              <w:pStyle w:val="Compact"/>
              <w:jc w:val="left"/>
            </w:pPr>
            <w:r>
              <w:t xml:space="preserve">3.12 mm/day</w:t>
            </w:r>
          </w:p>
        </w:tc>
      </w:tr>
      <w:tr>
        <w:tc>
          <w:tcPr/>
          <w:p>
            <w:pPr>
              <w:pStyle w:val="Compact"/>
              <w:jc w:val="left"/>
            </w:pPr>
            <w:r>
              <w:t xml:space="preserve">Rainfall, lowest year</w:t>
            </w:r>
          </w:p>
        </w:tc>
        <w:tc>
          <w:tcPr/>
          <w:p>
            <w:pPr>
              <w:pStyle w:val="Compact"/>
              <w:jc w:val="left"/>
            </w:pPr>
            <w:r>
              <w:rPr>
                <w:bCs/>
                <w:b/>
              </w:rPr>
              <w:t xml:space="preserve">2004, 1.95 mm/day</w:t>
            </w:r>
          </w:p>
        </w:tc>
        <w:tc>
          <w:tcPr/>
          <w:p>
            <w:pPr>
              <w:pStyle w:val="Compact"/>
              <w:jc w:val="left"/>
            </w:pPr>
            <w:r>
              <w:t xml:space="preserve">“</w:t>
            </w:r>
            <w:r>
              <w:t xml:space="preserve">2012, under 2.80 mm/day</w:t>
            </w:r>
            <w:r>
              <w:t xml:space="preserve">”</w:t>
            </w:r>
          </w:p>
        </w:tc>
      </w:tr>
      <w:tr>
        <w:tc>
          <w:tcPr/>
          <w:p>
            <w:pPr>
              <w:pStyle w:val="Compact"/>
              <w:jc w:val="left"/>
            </w:pPr>
            <w:r>
              <w:t xml:space="preserve">Rainfall, highest year</w:t>
            </w:r>
          </w:p>
        </w:tc>
        <w:tc>
          <w:tcPr/>
          <w:p>
            <w:pPr>
              <w:pStyle w:val="Compact"/>
              <w:jc w:val="left"/>
            </w:pPr>
            <w:r>
              <w:t xml:space="preserve">2021, 5.72 mm/day</w:t>
            </w:r>
          </w:p>
        </w:tc>
        <w:tc>
          <w:tcPr/>
          <w:p>
            <w:pPr>
              <w:pStyle w:val="Compact"/>
              <w:jc w:val="left"/>
            </w:pPr>
            <w:r>
              <w:t xml:space="preserve">—</w:t>
            </w:r>
          </w:p>
        </w:tc>
      </w:tr>
      <w:tr>
        <w:tc>
          <w:tcPr/>
          <w:p>
            <w:pPr>
              <w:pStyle w:val="Compact"/>
              <w:jc w:val="left"/>
            </w:pPr>
            <w:r>
              <w:t xml:space="preserve">Validated crop-year records</w:t>
            </w:r>
          </w:p>
        </w:tc>
        <w:tc>
          <w:tcPr/>
          <w:p>
            <w:pPr>
              <w:pStyle w:val="Compact"/>
              <w:jc w:val="left"/>
            </w:pPr>
            <w:r>
              <w:rPr>
                <w:bCs/>
                <w:b/>
              </w:rPr>
              <w:t xml:space="preserve">793</w:t>
            </w:r>
          </w:p>
        </w:tc>
        <w:tc>
          <w:tcPr/>
          <w:p>
            <w:pPr>
              <w:pStyle w:val="Compact"/>
              <w:jc w:val="left"/>
            </w:pPr>
            <w:r>
              <w:t xml:space="preserve">511 (in one earlier document)</w:t>
            </w:r>
          </w:p>
        </w:tc>
      </w:tr>
    </w:tbl>
    <w:bookmarkEnd w:id="21"/>
    <w:bookmarkStart w:id="22" w:name="X9d4893ef340d21f16cff1e2906bd65971c86b67"/>
    <w:p>
      <w:pPr>
        <w:pStyle w:val="Heading2"/>
      </w:pPr>
      <w:r>
        <w:t xml:space="preserve">Finding 1 — There Was No 2012 Rainfall Collapse</w:t>
      </w:r>
    </w:p>
    <w:p>
      <w:pPr>
        <w:pStyle w:val="FirstParagraph"/>
      </w:pPr>
      <w:r>
        <w:t xml:space="preserve">The original briefing’s central claim was that 2012 saw precipitation fall</w:t>
      </w:r>
      <w:r>
        <w:t xml:space="preserve"> </w:t>
      </w:r>
      <w:r>
        <w:t xml:space="preserve">“</w:t>
      </w:r>
      <w:r>
        <w:t xml:space="preserve">significantly below the 25-year baseline to under 2.80 mm/day,</w:t>
      </w:r>
      <w:r>
        <w:t xml:space="preserve">”</w:t>
      </w:r>
      <w:r>
        <w:t xml:space="preserve"> </w:t>
      </w:r>
      <w:r>
        <w:t xml:space="preserve">triggering a</w:t>
      </w:r>
      <w:r>
        <w:t xml:space="preserve"> </w:t>
      </w:r>
      <w:r>
        <w:t xml:space="preserve">“</w:t>
      </w:r>
      <w:r>
        <w:t xml:space="preserve">synchronized</w:t>
      </w:r>
      <w:r>
        <w:t xml:space="preserve">”</w:t>
      </w:r>
      <w:r>
        <w:t xml:space="preserve"> </w:t>
      </w:r>
      <w:r>
        <w:t xml:space="preserve">12–15% yield contraction across maize, rice, and wheat.</w:t>
      </w:r>
    </w:p>
    <w:p>
      <w:pPr>
        <w:pStyle w:val="BodyText"/>
      </w:pPr>
      <w:r>
        <w:rPr>
          <w:bCs/>
          <w:b/>
        </w:rPr>
        <w:t xml:space="preserve">This is not what the data shows.</w:t>
      </w:r>
      <w:r>
        <w:t xml:space="preserve"> </w:t>
      </w:r>
      <w:r>
        <w:t xml:space="preserve">2012’s rainfall figure (3.45 mm/day) is</w:t>
      </w:r>
      <w:r>
        <w:t xml:space="preserve"> </w:t>
      </w:r>
      <w:r>
        <w:rPr>
          <w:iCs/>
          <w:i/>
        </w:rPr>
        <w:t xml:space="preserve">above</w:t>
      </w:r>
      <w:r>
        <w:t xml:space="preserve"> </w:t>
      </w:r>
      <w:r>
        <w:t xml:space="preserve">the 25-year mean (3.03 mm/day) — it is one of the wetter years in the series, not the driest. The actual lowest-rainfall year is</w:t>
      </w:r>
      <w:r>
        <w:t xml:space="preserve"> </w:t>
      </w:r>
      <w:r>
        <w:rPr>
          <w:bCs/>
          <w:b/>
        </w:rPr>
        <w:t xml:space="preserve">2004</w:t>
      </w:r>
      <w:r>
        <w:t xml:space="preserve"> </w:t>
      </w:r>
      <w:r>
        <w:t xml:space="preserve">(1.95 mm/day).</w:t>
      </w:r>
    </w:p>
    <w:p>
      <w:pPr>
        <w:pStyle w:val="BodyText"/>
      </w:pPr>
      <w:r>
        <w:t xml:space="preserve">Checking the three named cereals’ yield change from 2011 to 2012 individually: maize fell 7.1%, rice fell 6.7%, and wheat fell 20.4%. None of these fall in the claimed 12–15% band, and they are not synchronized — wheat’s decline is roughly three times maize’s. Whatever drove the 2012 yield dip in these crops, it does not track with rainfall in this dataset, and this project has no other variable (input costs, pest pressure, policy, market prices) to test instead.</w:t>
      </w:r>
      <w:r>
        <w:t xml:space="preserve"> </w:t>
      </w:r>
      <w:r>
        <w:rPr>
          <w:bCs/>
          <w:b/>
        </w:rPr>
        <w:t xml:space="preserve">This finding is retracted, not softened.</w:t>
      </w:r>
    </w:p>
    <w:bookmarkEnd w:id="22"/>
    <w:bookmarkStart w:id="23" w:name="X9f06a85671c4bae3c1e7a11a03d25dbf530e98f"/>
    <w:p>
      <w:pPr>
        <w:pStyle w:val="Heading2"/>
      </w:pPr>
      <w:r>
        <w:t xml:space="preserve">Finding 2 — Yield’s Relationship to Rainfall Is Real but Inconsistent, Not</w:t>
      </w:r>
      <w:r>
        <w:t xml:space="preserve"> </w:t>
      </w:r>
      <w:r>
        <w:t xml:space="preserve">“</w:t>
      </w:r>
      <w:r>
        <w:t xml:space="preserve">Tight</w:t>
      </w:r>
      <w:r>
        <w:t xml:space="preserve">”</w:t>
      </w:r>
    </w:p>
    <w:p>
      <w:pPr>
        <w:pStyle w:val="FirstParagraph"/>
      </w:pPr>
      <w:r>
        <w:t xml:space="preserve">No correlation statistic existed anywhere in the original model. For this correction, a Pearson correlation (annual average yield vs. annual central-grid rainfall, n = 25 years) was computed directly from the underlying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Crop</w:t>
            </w:r>
          </w:p>
        </w:tc>
        <w:tc>
          <w:tcPr/>
          <w:p>
            <w:pPr>
              <w:pStyle w:val="Compact"/>
              <w:jc w:val="left"/>
            </w:pPr>
            <w:r>
              <w:t xml:space="preserve">r (yield vs. rainfall)</w:t>
            </w:r>
          </w:p>
        </w:tc>
        <w:tc>
          <w:tcPr/>
          <w:p>
            <w:pPr>
              <w:pStyle w:val="Compact"/>
              <w:jc w:val="left"/>
            </w:pPr>
            <w:r>
              <w:t xml:space="preserve">Reading</w:t>
            </w:r>
          </w:p>
        </w:tc>
      </w:tr>
      <w:tr>
        <w:tc>
          <w:tcPr/>
          <w:p>
            <w:pPr>
              <w:pStyle w:val="Compact"/>
              <w:jc w:val="left"/>
            </w:pPr>
            <w:r>
              <w:t xml:space="preserve">All crops, blended (unweighted)</w:t>
            </w:r>
          </w:p>
        </w:tc>
        <w:tc>
          <w:tcPr/>
          <w:p>
            <w:pPr>
              <w:pStyle w:val="Compact"/>
              <w:jc w:val="left"/>
            </w:pPr>
            <w:r>
              <w:t xml:space="preserve">0.34</w:t>
            </w:r>
          </w:p>
        </w:tc>
        <w:tc>
          <w:tcPr/>
          <w:p>
            <w:pPr>
              <w:pStyle w:val="Compact"/>
              <w:jc w:val="left"/>
            </w:pPr>
            <w:r>
              <w:t xml:space="preserve">Weak-to-moderate positive</w:t>
            </w:r>
          </w:p>
        </w:tc>
      </w:tr>
      <w:tr>
        <w:tc>
          <w:tcPr/>
          <w:p>
            <w:pPr>
              <w:pStyle w:val="Compact"/>
              <w:jc w:val="left"/>
            </w:pPr>
            <w:r>
              <w:t xml:space="preserve">Wheat</w:t>
            </w:r>
          </w:p>
        </w:tc>
        <w:tc>
          <w:tcPr/>
          <w:p>
            <w:pPr>
              <w:pStyle w:val="Compact"/>
              <w:jc w:val="left"/>
            </w:pPr>
            <w:r>
              <w:t xml:space="preserve">0.74</w:t>
            </w:r>
          </w:p>
        </w:tc>
        <w:tc>
          <w:tcPr/>
          <w:p>
            <w:pPr>
              <w:pStyle w:val="Compact"/>
              <w:jc w:val="left"/>
            </w:pPr>
            <w:r>
              <w:t xml:space="preserve">Moderately strong positive</w:t>
            </w:r>
          </w:p>
        </w:tc>
      </w:tr>
      <w:tr>
        <w:tc>
          <w:tcPr/>
          <w:p>
            <w:pPr>
              <w:pStyle w:val="Compact"/>
              <w:jc w:val="left"/>
            </w:pPr>
            <w:r>
              <w:t xml:space="preserve">Maize (corn)</w:t>
            </w:r>
          </w:p>
        </w:tc>
        <w:tc>
          <w:tcPr/>
          <w:p>
            <w:pPr>
              <w:pStyle w:val="Compact"/>
              <w:jc w:val="left"/>
            </w:pPr>
            <w:r>
              <w:t xml:space="preserve">0.44</w:t>
            </w:r>
          </w:p>
        </w:tc>
        <w:tc>
          <w:tcPr/>
          <w:p>
            <w:pPr>
              <w:pStyle w:val="Compact"/>
              <w:jc w:val="left"/>
            </w:pPr>
            <w:r>
              <w:t xml:space="preserve">Weak-to-moderate positive</w:t>
            </w:r>
          </w:p>
        </w:tc>
      </w:tr>
      <w:tr>
        <w:tc>
          <w:tcPr/>
          <w:p>
            <w:pPr>
              <w:pStyle w:val="Compact"/>
              <w:jc w:val="left"/>
            </w:pPr>
            <w:r>
              <w:t xml:space="preserve">Rice</w:t>
            </w:r>
          </w:p>
        </w:tc>
        <w:tc>
          <w:tcPr/>
          <w:p>
            <w:pPr>
              <w:pStyle w:val="Compact"/>
              <w:jc w:val="left"/>
            </w:pPr>
            <w:r>
              <w:t xml:space="preserve">0.12</w:t>
            </w:r>
          </w:p>
        </w:tc>
        <w:tc>
          <w:tcPr/>
          <w:p>
            <w:pPr>
              <w:pStyle w:val="Compact"/>
              <w:jc w:val="left"/>
            </w:pPr>
            <w:r>
              <w:t xml:space="preserve">Effectively no relationship</w:t>
            </w:r>
          </w:p>
        </w:tc>
      </w:tr>
      <w:tr>
        <w:tc>
          <w:tcPr/>
          <w:p>
            <w:pPr>
              <w:pStyle w:val="Compact"/>
              <w:jc w:val="left"/>
            </w:pPr>
            <w:r>
              <w:t xml:space="preserve">Yams</w:t>
            </w:r>
          </w:p>
        </w:tc>
        <w:tc>
          <w:tcPr/>
          <w:p>
            <w:pPr>
              <w:pStyle w:val="Compact"/>
              <w:jc w:val="left"/>
            </w:pPr>
            <w:r>
              <w:t xml:space="preserve">−0.30</w:t>
            </w:r>
          </w:p>
        </w:tc>
        <w:tc>
          <w:tcPr/>
          <w:p>
            <w:pPr>
              <w:pStyle w:val="Compact"/>
              <w:jc w:val="left"/>
            </w:pPr>
            <w:r>
              <w:t xml:space="preserve">Weak negative</w:t>
            </w:r>
          </w:p>
        </w:tc>
      </w:tr>
    </w:tbl>
    <w:p>
      <w:pPr>
        <w:pStyle w:val="BodyText"/>
      </w:pPr>
      <w:r>
        <w:t xml:space="preserve">The honest finding:</w:t>
      </w:r>
      <w:r>
        <w:t xml:space="preserve"> </w:t>
      </w:r>
      <w:r>
        <w:rPr>
          <w:bCs/>
          <w:b/>
        </w:rPr>
        <w:t xml:space="preserve">wheat shows a fairly strong positive association with this rainfall proxy; maize a weaker one; rice essentially none; and at least one major tuber (yams) trends slightly the other way.</w:t>
      </w:r>
      <w:r>
        <w:t xml:space="preserve"> </w:t>
      </w:r>
      <w:r>
        <w:t xml:space="preserve">This is a real, mixed, crop-specific pattern — not the uniform</w:t>
      </w:r>
      <w:r>
        <w:t xml:space="preserve"> </w:t>
      </w:r>
      <w:r>
        <w:t xml:space="preserve">“</w:t>
      </w:r>
      <w:r>
        <w:t xml:space="preserve">tight, positive linear correlation across cereals</w:t>
      </w:r>
      <w:r>
        <w:t xml:space="preserve">”</w:t>
      </w:r>
      <w:r>
        <w:t xml:space="preserve"> </w:t>
      </w:r>
      <w:r>
        <w:t xml:space="preserve">the original document claimed. With only 25 annual, spatially-partial data points, none of this should be presented as statistically significant or causal without further testing (e.g., accounting for input use, area expansion, and the rainfall grid’s incomplete coverage).</w:t>
      </w:r>
    </w:p>
    <w:bookmarkEnd w:id="23"/>
    <w:bookmarkStart w:id="24" w:name="X0e835e9b84d697141b5fd53ca503ee288686a91"/>
    <w:p>
      <w:pPr>
        <w:pStyle w:val="Heading2"/>
      </w:pPr>
      <w:r>
        <w:t xml:space="preserve">Finding 3 — Farmland Expansion Has Outpaced Yield Growth</w:t>
      </w:r>
    </w:p>
    <w:p>
      <w:pPr>
        <w:pStyle w:val="FirstParagraph"/>
      </w:pPr>
      <w:r>
        <w:t xml:space="preserve">Total harvested area grew from 38.2 million hectares (2000) to a</w:t>
      </w:r>
      <w:r>
        <w:t xml:space="preserve"> </w:t>
      </w:r>
      <w:r>
        <w:rPr>
          <w:bCs/>
          <w:b/>
        </w:rPr>
        <w:t xml:space="preserve">2024 peak of 60.35 million hectares</w:t>
      </w:r>
      <w:r>
        <w:t xml:space="preserve"> </w:t>
      </w:r>
      <w:r>
        <w:t xml:space="preserve">— a 58% increase — while blended average yield grew only 10.0% over the comparable 2000–2021 window. This part of the original narrative’s</w:t>
      </w:r>
      <w:r>
        <w:t xml:space="preserve"> </w:t>
      </w:r>
      <w:r>
        <w:rPr>
          <w:iCs/>
          <w:i/>
        </w:rPr>
        <w:t xml:space="preserve">direction</w:t>
      </w:r>
      <w:r>
        <w:t xml:space="preserve"> </w:t>
      </w:r>
      <w:r>
        <w:t xml:space="preserve">was right (area growing faster than yield), even though its specific numbers (37.2M→50.8M ha,</w:t>
      </w:r>
      <w:r>
        <w:t xml:space="preserve"> </w:t>
      </w:r>
      <w:r>
        <w:t xml:space="preserve">“</w:t>
      </w:r>
      <w:r>
        <w:t xml:space="preserve">under 3%</w:t>
      </w:r>
      <w:r>
        <w:t xml:space="preserve">”</w:t>
      </w:r>
      <w:r>
        <w:t xml:space="preserve"> </w:t>
      </w:r>
      <w:r>
        <w:t xml:space="preserve">yield growth, 2021 named as the peak year) were wrong. Production growth over the period is therefore driven predominantly by</w:t>
      </w:r>
      <w:r>
        <w:t xml:space="preserve"> </w:t>
      </w:r>
      <w:r>
        <w:rPr>
          <w:bCs/>
          <w:b/>
        </w:rPr>
        <w:t xml:space="preserve">area expansion, not intensification</w:t>
      </w:r>
      <w:r>
        <w:t xml:space="preserve"> </w:t>
      </w:r>
      <w:r>
        <w:t xml:space="preserve">— a genuinely useful, correctly-directioned finding once the numbers are fixed.</w:t>
      </w:r>
      <w:r>
        <w:t xml:space="preserve"> </w:t>
      </w:r>
      <w:r>
        <w:rPr>
          <w:iCs/>
          <w:i/>
        </w:rPr>
        <w:t xml:space="preserve">This is an arithmetic decomposition of the two growth components (area × yield), not a claim about why farmers expanded land — this project has no data on farmer decision-making, land costs, or policy to test that separately.</w:t>
      </w:r>
    </w:p>
    <w:bookmarkEnd w:id="24"/>
    <w:bookmarkStart w:id="25" w:name="limitations-stated-explicitly-not-buried"/>
    <w:p>
      <w:pPr>
        <w:pStyle w:val="Heading2"/>
      </w:pPr>
      <w:r>
        <w:t xml:space="preserve">Limitations (stated explicitly, not buried)</w:t>
      </w:r>
    </w:p>
    <w:p>
      <w:pPr>
        <w:numPr>
          <w:ilvl w:val="0"/>
          <w:numId w:val="1001"/>
        </w:numPr>
        <w:pStyle w:val="Compact"/>
      </w:pPr>
      <w:r>
        <w:t xml:space="preserve">Crop data is national-level only; no state or geopolitical-zone breakdown exists in this project.</w:t>
      </w:r>
    </w:p>
    <w:p>
      <w:pPr>
        <w:numPr>
          <w:ilvl w:val="0"/>
          <w:numId w:val="1001"/>
        </w:numPr>
        <w:pStyle w:val="Compact"/>
      </w:pPr>
      <w:r>
        <w:t xml:space="preserve">Rainfall data covers a 143-cell grid over central Nigeria only (7.5°N–12.5°N, 4.375°E–11.875°E) — it excludes the South-South, South-East, most of the South-West, and the far north. Treat every rainfall figure here as describing that region, not the nation.</w:t>
      </w:r>
    </w:p>
    <w:p>
      <w:pPr>
        <w:numPr>
          <w:ilvl w:val="0"/>
          <w:numId w:val="1001"/>
        </w:numPr>
        <w:pStyle w:val="Compact"/>
      </w:pPr>
      <w:r>
        <w:t xml:space="preserve">No trade/import data is included; this briefing cannot speak to the role of imports in Nigeria’s food supply.</w:t>
      </w:r>
    </w:p>
    <w:p>
      <w:pPr>
        <w:numPr>
          <w:ilvl w:val="0"/>
          <w:numId w:val="1001"/>
        </w:numPr>
        <w:pStyle w:val="Compact"/>
      </w:pPr>
      <w:r>
        <w:t xml:space="preserve">Correlation figures above are descriptive, computed outside the current Power BI model (a DAX equivalent is planned — see the Correction Playbook), and are not adjusted for other drivers of yield (inputs, area, policy, prices).</w:t>
      </w:r>
    </w:p>
    <w:p>
      <w:r>
        <w:pict>
          <v:rect style="width:0;height:1.5pt" o:hralign="center" o:hrstd="t" o:hr="t"/>
        </w:pict>
      </w:r>
    </w:p>
    <w:p>
      <w:pPr>
        <w:pStyle w:val="FirstParagraph"/>
      </w:pPr>
      <w:r>
        <w:rPr>
          <w:iCs/>
          <w:i/>
        </w:rPr>
        <w:t xml:space="preserve">Corrected 24 September 2026, following a full audit against the raw source files and the live data model. This version supersedes all prior copies of this briefing.</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Briefing &amp; Business Insights Deck — CORRECTED</dc:title>
  <dc:creator>Nigeria Crop Yield &amp; Climate Analysis, 2000–2024</dc:creator>
  <cp:keywords/>
  <dcterms:created xsi:type="dcterms:W3CDTF">2026-09-25T19:31:10Z</dcterms:created>
  <dcterms:modified xsi:type="dcterms:W3CDTF">2026-09-25T19:31:10Z</dcterms:modified>
</cp:coreProperties>
</file>

<file path=docProps/custom.xml><?xml version="1.0" encoding="utf-8"?>
<Properties xmlns="http://schemas.openxmlformats.org/officeDocument/2006/custom-properties" xmlns:vt="http://schemas.openxmlformats.org/officeDocument/2006/docPropsVTypes"/>
</file>