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</w:t>
      </w:r>
      <w:r>
        <w:t xml:space="preserve"> </w:t>
      </w:r>
      <w:r>
        <w:t xml:space="preserve">Architecture</w:t>
      </w:r>
      <w:r>
        <w:t xml:space="preserve"> </w:t>
      </w:r>
      <w:r>
        <w:t xml:space="preserve">—</w:t>
      </w:r>
      <w:r>
        <w:t xml:space="preserve"> </w:t>
      </w:r>
      <w:r>
        <w:t xml:space="preserve">CORRECTED</w:t>
      </w:r>
    </w:p>
    <w:p>
      <w:pPr>
        <w:pStyle w:val="Author"/>
      </w:pPr>
      <w:r>
        <w:t xml:space="preserve">Nigeria</w:t>
      </w:r>
      <w:r>
        <w:t xml:space="preserve"> </w:t>
      </w:r>
      <w:r>
        <w:t xml:space="preserve">Crop</w:t>
      </w:r>
      <w:r>
        <w:t xml:space="preserve"> </w:t>
      </w:r>
      <w:r>
        <w:t xml:space="preserve">Yield</w:t>
      </w:r>
      <w:r>
        <w:t xml:space="preserve"> </w:t>
      </w:r>
      <w:r>
        <w:t xml:space="preserve">&amp;</w:t>
      </w:r>
      <w:r>
        <w:t xml:space="preserve"> </w:t>
      </w:r>
      <w:r>
        <w:t xml:space="preserve">Climate</w:t>
      </w:r>
      <w:r>
        <w:t xml:space="preserve"> </w:t>
      </w:r>
      <w:r>
        <w:t xml:space="preserve">Analysis</w:t>
      </w:r>
      <w:r>
        <w:t xml:space="preserve"> </w:t>
      </w:r>
      <w:r>
        <w:t xml:space="preserve">(2000–2024)</w:t>
      </w:r>
    </w:p>
    <w:p>
      <w:pPr>
        <w:pStyle w:val="FirstParagraph"/>
      </w:pPr>
      <w:r>
        <w:rPr>
          <w:bCs/>
          <w:b/>
        </w:rPr>
        <w:t xml:space="preserve">Correction notice:</w:t>
      </w:r>
      <w:r>
        <w:t xml:space="preserve"> </w:t>
      </w:r>
      <w:r>
        <w:t xml:space="preserve">This replaces the original</w:t>
      </w:r>
      <w:r>
        <w:t xml:space="preserve"> </w:t>
      </w:r>
      <w:r>
        <w:rPr>
          <w:rStyle w:val="VerbatimChar"/>
        </w:rPr>
        <w:t xml:space="preserve">system_architecture.pdf</w:t>
      </w:r>
      <w:r>
        <w:t xml:space="preserve">. Corrects the source-file-type reference, the row/grid counts, and removes description of components that were never built.</w:t>
      </w:r>
    </w:p>
    <w:p>
      <w:r>
        <w:pict>
          <v:rect style="width:0;height:1.5pt" o:hralign="center" o:hrstd="t" o:hr="t"/>
        </w:pict>
      </w:r>
    </w:p>
    <w:bookmarkStart w:id="20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FAOSTAT_data_en_5-16-2026.csv (2,443 raw rows, national-level, QCL domain)</w:t>
      </w:r>
      <w:r>
        <w:br/>
      </w:r>
      <w:r>
        <w:rPr>
          <w:rStyle w:val="VerbatimChar"/>
        </w:rPr>
        <w:t xml:space="preserve">    -&gt; Power Query: pivot Element -&gt; columns, filter Production &lt;&gt; null</w:t>
      </w:r>
      <w:r>
        <w:br/>
      </w:r>
      <w:r>
        <w:rPr>
          <w:rStyle w:val="VerbatimChar"/>
        </w:rPr>
        <w:t xml:space="preserve">    -&gt; FAOSTAT_data_en_5-16-2026 (model table, 793 rows)</w:t>
      </w:r>
      <w:r>
        <w:br/>
      </w:r>
      <w:r>
        <w:br/>
      </w:r>
      <w:r>
        <w:rPr>
          <w:rStyle w:val="VerbatimChar"/>
        </w:rPr>
        <w:t xml:space="preserve">POWER_Regional_Monthly_2000_2024.csv (3,576 raw rows, 143-cell central-Nigeria grid)</w:t>
      </w:r>
      <w:r>
        <w:br/>
      </w:r>
      <w:r>
        <w:rPr>
          <w:rStyle w:val="VerbatimChar"/>
        </w:rPr>
        <w:t xml:space="preserve">    -&gt; Power Query: group by YEAR, average ANN across all cells</w:t>
      </w:r>
      <w:r>
        <w:br/>
      </w:r>
      <w:r>
        <w:rPr>
          <w:rStyle w:val="VerbatimChar"/>
        </w:rPr>
        <w:t xml:space="preserve">    -&gt; POWER_Regional_Monthly_2000_2024 (model table, 25 rows)</w:t>
      </w:r>
      <w:r>
        <w:br/>
      </w:r>
      <w:r>
        <w:br/>
      </w:r>
      <w:r>
        <w:rPr>
          <w:rStyle w:val="VerbatimChar"/>
        </w:rPr>
        <w:t xml:space="preserve">FAOSTAT_data_en_5-16-2026[Year] --(many:1, single-direction)--&gt; POWER_Regional_Monthly_2000_2024[YEAR]</w:t>
      </w:r>
    </w:p>
    <w:p>
      <w:pPr>
        <w:pStyle w:val="FirstParagraph"/>
      </w:pPr>
      <w:r>
        <w:rPr>
          <w:iCs/>
          <w:i/>
        </w:rPr>
        <w:t xml:space="preserve">Corrects: the source file is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.csv</w:t>
      </w:r>
      <w:r>
        <w:rPr>
          <w:iCs/>
          <w:i/>
        </w:rPr>
        <w:t xml:space="preserve">, not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.txt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referenced in the original document. The grid figure is 3,576 raw rows / 143 cells, not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2,800 regional grid observations.</w:t>
      </w:r>
      <w:r>
        <w:rPr>
          <w:iCs/>
          <w:i/>
        </w:rPr>
        <w:t xml:space="preserve">”</w:t>
      </w:r>
    </w:p>
    <w:bookmarkEnd w:id="20"/>
    <w:bookmarkStart w:id="21" w:name="model-summary"/>
    <w:p>
      <w:pPr>
        <w:pStyle w:val="Heading2"/>
      </w:pPr>
      <w:r>
        <w:t xml:space="preserve">Model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 tables.</w:t>
      </w:r>
      <w:r>
        <w:t xml:space="preserve"> </w:t>
      </w:r>
      <w:r>
        <w:t xml:space="preserve">No date table, no geography/administrative-boundary table, no crop-category table exist in this model. Any narrative that groups crops into categories (e.g., cereals vs. tubers) is an analytical grouping applied in prose, not a field in the model.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relationship</w:t>
      </w:r>
      <w:r>
        <w:t xml:space="preserve">, verified active and single-direction.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 measures</w:t>
      </w:r>
      <w:r>
        <w:t xml:space="preserve"> </w:t>
      </w:r>
      <w:r>
        <w:t xml:space="preserve">exist (see the Data Dictionary for the full list), including a new</w:t>
      </w:r>
      <w:r>
        <w:t xml:space="preserve"> </w:t>
      </w:r>
      <w:r>
        <w:rPr>
          <w:rStyle w:val="VerbatimChar"/>
        </w:rPr>
        <w:t xml:space="preserve">Avg Rainfall</w:t>
      </w:r>
      <w:r>
        <w:t xml:space="preserve"> </w:t>
      </w:r>
      <w:r>
        <w:t xml:space="preserve">measure added when the combo chart’s rainfall line was fixed. No correlation/statistical measure is currently built into the model — the r-values in the Executive Briefing are computed externally.</w:t>
      </w:r>
    </w:p>
    <w:bookmarkEnd w:id="21"/>
    <w:bookmarkStart w:id="22" w:name="report-structure"/>
    <w:p>
      <w:pPr>
        <w:pStyle w:val="Heading2"/>
      </w:pPr>
      <w:r>
        <w:t xml:space="preserve">Report 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 pages</w:t>
      </w:r>
      <w:r>
        <w:t xml:space="preserve">:</w:t>
      </w:r>
      <w:r>
        <w:t xml:space="preserve"> </w:t>
      </w:r>
      <w:r>
        <w:t xml:space="preserve">“</w:t>
      </w:r>
      <w:r>
        <w:t xml:space="preserve">Agricultural Productivity Overview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Climate Correlation Engine.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29 total visual containers</w:t>
      </w:r>
      <w:r>
        <w:t xml:space="preserve"> </w:t>
      </w:r>
      <w:r>
        <w:t xml:space="preserve">across both pages (15 + 14), covering cards, bar/ribbon/donut/area charts, a pivot table, a scatter chart, a combo chart, slicers, and navigation elements. Full inventory is in the Dashboard Interactive Architecture Blueprint.</w:t>
      </w:r>
    </w:p>
    <w:p>
      <w:pPr>
        <w:pStyle w:val="FirstParagraph"/>
      </w:pPr>
      <w:r>
        <w:rPr>
          <w:bCs/>
          <w:b/>
        </w:rPr>
        <w:t xml:space="preserve">Removed from this version (not implemented, described in earlier drafts):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Hydrological Sensitivity Drill-Down</w:t>
      </w:r>
      <w:r>
        <w:t xml:space="preserve">”</w:t>
      </w:r>
      <w:r>
        <w:t xml:space="preserve"> </w:t>
      </w:r>
      <w:r>
        <w:t xml:space="preserve">visual contrasting pre-collapse/collapse/recovery phases around 2012. No such visual exists in the current report, and — separately — the 2012 rainfall figure in this dataset (3.45 mm/day) is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the 25-year average, not a collapse year. See the Executive Briefing for the corrected finding.</w:t>
      </w:r>
    </w:p>
    <w:bookmarkEnd w:id="22"/>
    <w:bookmarkStart w:id="23" w:name="known-issues-resolved"/>
    <w:p>
      <w:pPr>
        <w:pStyle w:val="Heading2"/>
      </w:pPr>
      <w:r>
        <w:t xml:space="preserve">Known Issues — Resolved</w:t>
      </w:r>
    </w:p>
    <w:p>
      <w:pPr>
        <w:pStyle w:val="FirstParagraph"/>
      </w:pPr>
      <w:r>
        <w:t xml:space="preserve">All three issues previously listed here have been fixed in Power BI Desktop and verified directly against the live report file:</w:t>
      </w:r>
    </w:p>
    <w:p>
      <w:pPr>
        <w:numPr>
          <w:ilvl w:val="0"/>
          <w:numId w:val="1003"/>
        </w:numPr>
        <w:pStyle w:val="Compact"/>
      </w:pPr>
      <w:r>
        <w:t xml:space="preserve">Scatter chart on Page 2 now has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fields set, and plots a real 25-year distribution.</w:t>
      </w:r>
    </w:p>
    <w:p>
      <w:pPr>
        <w:numPr>
          <w:ilvl w:val="0"/>
          <w:numId w:val="1003"/>
        </w:numPr>
        <w:pStyle w:val="Compact"/>
      </w:pPr>
      <w:r>
        <w:t xml:space="preserve">Combo chart’s rainfall line is now bound to a proper</w:t>
      </w:r>
      <w:r>
        <w:t xml:space="preserve"> </w:t>
      </w:r>
      <w:r>
        <w:rPr>
          <w:rStyle w:val="VerbatimChar"/>
        </w:rPr>
        <w:t xml:space="preserve">Avg Rainfall</w:t>
      </w:r>
      <w:r>
        <w:t xml:space="preserve"> </w:t>
      </w:r>
      <w:r>
        <w:t xml:space="preserve">measure and moves year to year.</w:t>
      </w:r>
    </w:p>
    <w:p>
      <w:pPr>
        <w:numPr>
          <w:ilvl w:val="0"/>
          <w:numId w:val="1003"/>
        </w:numPr>
        <w:pStyle w:val="Compact"/>
      </w:pPr>
      <w:r>
        <w:t xml:space="preserve">All five affected visuals now average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rather than summing it.</w:t>
      </w:r>
    </w:p>
    <w:p>
      <w:pPr>
        <w:pStyle w:val="FirstParagraph"/>
      </w:pPr>
      <w:r>
        <w:rPr>
          <w:bCs/>
          <w:b/>
        </w:rPr>
        <w:t xml:space="preserve">Still outstanding:</w:t>
      </w:r>
      <w:r>
        <w:t xml:space="preserve"> </w:t>
      </w:r>
      <w:r>
        <w:t xml:space="preserve">an explicit aggregation function on the FAOSTAT query’s</w:t>
      </w:r>
      <w:r>
        <w:t xml:space="preserve"> </w:t>
      </w:r>
      <w:r>
        <w:rPr>
          <w:rStyle w:val="VerbatimChar"/>
        </w:rPr>
        <w:t xml:space="preserve">Table.Pivot</w:t>
      </w:r>
      <w:r>
        <w:t xml:space="preserve"> </w:t>
      </w:r>
      <w:r>
        <w:t xml:space="preserve">step, and the renaming of the three remaining measures (</w:t>
      </w:r>
      <w:r>
        <w:rPr>
          <w:rStyle w:val="VerbatimChar"/>
        </w:rPr>
        <w:t xml:space="preserve">Average 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 Precipitation 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 Drought Baselines</w:t>
      </w:r>
      <w:r>
        <w:t xml:space="preserve">). Neither affects what’s visible on the report today.</w:t>
      </w:r>
    </w:p>
    <w:bookmarkEnd w:id="23"/>
    <w:bookmarkStart w:id="24" w:name="geographic-coverage-limitation"/>
    <w:p>
      <w:pPr>
        <w:pStyle w:val="Heading2"/>
      </w:pPr>
      <w:r>
        <w:t xml:space="preserve">Geographic Coverage Limitation</w:t>
      </w:r>
    </w:p>
    <w:p>
      <w:pPr>
        <w:pStyle w:val="FirstParagraph"/>
      </w:pPr>
      <w:r>
        <w:t xml:space="preserve">The climate data’s 143-cell grid spans 7.5°N–12.5°N by 4.375°E–11.875°E, excluding the South-South, South-East, most of the South-West, and the far north above 12.5°N. This is an architectural constraint of the source extract, not a modeling choice, and should be disclosed anywhere rainfall figures are presented.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Corrected 24 September 2026.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— CORRECTED</dc:title>
  <dc:creator>Nigeria Crop Yield &amp; Climate Analysis (2000–2024)</dc:creator>
  <cp:keywords/>
  <dcterms:created xsi:type="dcterms:W3CDTF">2026-09-25T19:31:09Z</dcterms:created>
  <dcterms:modified xsi:type="dcterms:W3CDTF">2026-09-25T19:31:09Z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