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drawing>
          <wp:inline distT="0" distB="0" distL="0" distR="0">
            <wp:extent cx="2286000" cy="1181100"/>
            <wp:effectExtent t="0" r="0" b="0" l="0"/>
            <wp:docPr id="1" name="logo" descr="logo" title="AgoroX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181100"/>
                    </a:xfrm>
                    <a:prstGeom prst="rect">
                      <a:avLst/>
                    </a:prstGeom>
                  </pic:spPr>
                </pic:pic>
              </a:graphicData>
            </a:graphic>
          </wp:inline>
        </w:drawing>
      </w:r>
    </w:p>
    <w:p>
      <w:pPr>
        <w:spacing w:before="560"/>
        <w:jc w:val="center"/>
      </w:pPr>
      <w:r>
        <w:rPr>
          <w:rFonts w:ascii="Calibri" w:cs="Calibri" w:eastAsia="Calibri" w:hAnsi="Calibri"/>
          <w:b/>
          <w:bCs/>
          <w:color w:val="0E1F33"/>
          <w:spacing w:val="18"/>
          <w:sz w:val="48"/>
          <w:szCs w:val="48"/>
        </w:rPr>
        <w:t xml:space="preserve">AGOROX ACADEMY</w:t>
      </w:r>
    </w:p>
    <w:p>
      <w:pPr>
        <w:spacing w:before="160"/>
        <w:jc w:val="center"/>
      </w:pPr>
      <w:r>
        <w:rPr>
          <w:rFonts w:ascii="Calibri" w:cs="Calibri" w:eastAsia="Calibri" w:hAnsi="Calibri"/>
          <w:color w:val="A8552E"/>
          <w:sz w:val="26"/>
          <w:szCs w:val="26"/>
        </w:rPr>
        <w:t xml:space="preserve">Certified LabOS Administrator (CLA)</w:t>
      </w:r>
    </w:p>
    <w:p>
      <w:pPr>
        <w:spacing w:before="100"/>
        <w:jc w:val="center"/>
      </w:pPr>
      <w:r>
        <w:rPr>
          <w:rFonts w:ascii="Calibri" w:cs="Calibri" w:eastAsia="Calibri" w:hAnsi="Calibri"/>
          <w:b/>
          <w:bCs/>
          <w:color w:val="0E1F33"/>
          <w:sz w:val="24"/>
          <w:szCs w:val="24"/>
        </w:rPr>
        <w:t xml:space="preserve">Module 2 — Patient Registration &amp; Records</w:t>
      </w:r>
    </w:p>
    <w:p>
      <w:pPr>
        <w:spacing w:before="140"/>
        <w:jc w:val="center"/>
      </w:pPr>
      <w:r>
        <w:rPr>
          <w:rFonts w:ascii="Calibri" w:cs="Calibri" w:eastAsia="Calibri" w:hAnsi="Calibri"/>
          <w:i/>
          <w:iCs/>
          <w:color w:val="5C6678"/>
          <w:sz w:val="17"/>
          <w:szCs w:val="17"/>
        </w:rPr>
        <w:t xml:space="preserve">Production-Ready Training Content — Instructor-Led, Self-Paced &amp; Video Script Package</w:t>
      </w:r>
    </w:p>
    <w:p>
      <w:pPr>
        <w:pBdr>
          <w:top w:val="single" w:color="D8DCE2" w:sz="6" w:space="14"/>
        </w:pBdr>
        <w:spacing w:before="1500"/>
        <w:jc w:val="center"/>
      </w:pPr>
      <w:r>
        <w:rPr>
          <w:rFonts w:ascii="Calibri" w:cs="Calibri" w:eastAsia="Calibri" w:hAnsi="Calibri"/>
          <w:color w:val="8C95A6"/>
          <w:sz w:val="18"/>
          <w:szCs w:val="18"/>
        </w:rPr>
        <w:t xml:space="preserve">AgoroX Technologies · Ibadan, Nigeria · 2026</w:t>
      </w:r>
    </w:p>
    <w:p>
      <w:r>
        <w:br w:type="page"/>
      </w:r>
    </w:p>
    <w:p>
      <w:pPr>
        <w:pStyle w:val="Heading1"/>
      </w:pPr>
      <w:r>
        <w:rPr>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60"/>
      </w:pPr>
      <w:r>
        <w:rPr>
          <w:rFonts w:ascii="Calibri" w:cs="Calibri" w:eastAsia="Calibri" w:hAnsi="Calibri"/>
          <w:b/>
          <w:bCs/>
          <w:color w:val="A8552E"/>
          <w:spacing w:val="14"/>
          <w:sz w:val="17"/>
          <w:szCs w:val="17"/>
        </w:rPr>
        <w:t xml:space="preserve">MODULE 2 OF 11 · LABOS ESSENTIALS (LEVEL 1)</w:t>
      </w:r>
    </w:p>
    <w:p>
      <w:pPr>
        <w:pStyle w:val="Heading1"/>
      </w:pPr>
      <w:r>
        <w:rPr>
          <w:rFonts w:ascii="Calibri" w:cs="Calibri" w:eastAsia="Calibri" w:hAnsi="Calibri"/>
        </w:rPr>
        <w:t xml:space="preserve">Module Overview</w:t>
      </w:r>
    </w:p>
    <w:p>
      <w:pPr>
        <w:spacing w:after="200"/>
      </w:pPr>
      <w:r>
        <w:rPr>
          <w:rFonts w:ascii="Calibri" w:cs="Calibri" w:eastAsia="Calibri" w:hAnsi="Calibri"/>
          <w:color w:val="5C6678"/>
          <w:sz w:val="23"/>
          <w:szCs w:val="23"/>
        </w:rPr>
        <w:t xml:space="preserve">Module 2 is built from six Help &amp; Documentation articles in the LabOS "Patients" category. Documentation tells you which fields are required on the registration form. This module teaches you why those specific fields were chosen, what breaks downstream when they're entered carelessly, and how a patient record evolves from a name on a form into a longitudinal clinical asset that follows someone across years of laboratory visits.</w:t>
      </w:r>
    </w:p>
    <w:p>
      <w:pPr>
        <w:spacing w:after="160"/>
      </w:pPr>
      <w:r>
        <w:rPr>
          <w:rFonts w:ascii="Calibri" w:cs="Calibri" w:eastAsia="Calibri" w:hAnsi="Calibri"/>
          <w:color w:val="5C6678"/>
          <w:sz w:val="21"/>
          <w:szCs w:val="21"/>
        </w:rPr>
        <w:t xml:space="preserve">Patient registration looks, on the surface, like the simplest task in the entire system — front-desk staff perform it dozens of times a day, often within their first hour on the job. That simplicity is deceptive. Every other module in this program — sample tracking, results, billing, even the specialty workflows — depends entirely on the patient record being correct at the moment of creation. An error made here doesn't stay contained to registration; it propagates forward into every subsequent visit, every report, every invoice, for as long as that patient uses your laboratory.</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MODULE POSITION</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Level 1 — LabOS Essentials, Module 2 of 3 in this level</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SOURCE MATERIAL</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6 Help &amp; Documentation articles (pt-1 through pt-6), used as factual source only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LESSONS IN THIS MODULE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3</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ESTIMATED TIME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65–85 minutes self-paced, or a 2-hour facilitated session</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DELIVERY FORMATS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Self-paced online · Instructor-led · Corporate cohort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PREREQUISITE</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Module 1 — Getting Started with LabOS</w:t>
            </w:r>
          </w:p>
        </w:tc>
      </w:tr>
    </w:tbl>
    <w:p>
      <w:pPr>
        <w:spacing w:after="200"/>
      </w:pPr>
    </w:p>
    <w:p>
      <w:pPr>
        <w:pStyle w:val="Heading2"/>
      </w:pPr>
      <w:r>
        <w:rPr>
          <w:rFonts w:ascii="Calibri" w:cs="Calibri" w:eastAsia="Calibri" w:hAnsi="Calibri"/>
        </w:rPr>
        <w:t xml:space="preserve">Why This Module Exists</w:t>
      </w:r>
    </w:p>
    <w:p>
      <w:pPr>
        <w:spacing w:after="160"/>
      </w:pPr>
      <w:r>
        <w:rPr>
          <w:rFonts w:ascii="Calibri" w:cs="Calibri" w:eastAsia="Calibri" w:hAnsi="Calibri"/>
          <w:color w:val="5C6678"/>
          <w:sz w:val="21"/>
          <w:szCs w:val="21"/>
        </w:rPr>
        <w:t xml:space="preserve">Front-desk staff are usually the least clinically trained people in a laboratory, yet the patient record they create becomes the foundation every clinically trained person downstream relies on — the scientist interpreting a sex-specific reference range, the pathologist validating a critical result, the cashier processing an NHIS claim. This module exists to make that responsibility visible. A registration error isn't a typo to apologise for later; depending on the field, it can mean a reference range calculated against the wrong sex, a result delivered to the wrong phone number, or two patients' histories silently merged into one because of a transposed digit nobody caught.</w:t>
      </w:r>
    </w:p>
    <w:p>
      <w:r>
        <w:br w:type="page"/>
      </w:r>
    </w:p>
    <w:p>
      <w:pPr>
        <w:spacing w:after="60"/>
      </w:pPr>
      <w:r>
        <w:rPr>
          <w:rFonts w:ascii="Calibri" w:cs="Calibri" w:eastAsia="Calibri" w:hAnsi="Calibri"/>
          <w:b/>
          <w:bCs/>
          <w:color w:val="A8552E"/>
          <w:spacing w:val="14"/>
          <w:sz w:val="17"/>
          <w:szCs w:val="17"/>
        </w:rPr>
        <w:t xml:space="preserve">MODULE 2</w:t>
      </w:r>
    </w:p>
    <w:p>
      <w:pPr>
        <w:pStyle w:val="Heading1"/>
      </w:pPr>
      <w:r>
        <w:rPr>
          <w:rFonts w:ascii="Calibri" w:cs="Calibri" w:eastAsia="Calibri" w:hAnsi="Calibri"/>
        </w:rPr>
        <w:t xml:space="preserve">Learning Objectives</w:t>
      </w:r>
    </w:p>
    <w:p>
      <w:pPr>
        <w:spacing w:after="200"/>
      </w:pPr>
      <w:r>
        <w:rPr>
          <w:rFonts w:ascii="Calibri" w:cs="Calibri" w:eastAsia="Calibri" w:hAnsi="Calibri"/>
          <w:color w:val="5C6678"/>
          <w:sz w:val="23"/>
          <w:szCs w:val="23"/>
        </w:rPr>
        <w:t xml:space="preserve">By the end of Module 2, a learner will be able to do all of the following.</w:t>
      </w:r>
    </w:p>
    <w:p>
      <w:pPr>
        <w:spacing w:after="80"/>
      </w:pPr>
    </w:p>
    <w:p>
      <w:pPr>
        <w:pStyle w:val="ListParagraph"/>
        <w:numPr>
          <w:ilvl w:val="0"/>
          <w:numId w:val="2"/>
        </w:numPr>
        <w:spacing w:after="90"/>
      </w:pPr>
      <w:r>
        <w:rPr>
          <w:rFonts w:ascii="Calibri" w:cs="Calibri" w:eastAsia="Calibri" w:hAnsi="Calibri"/>
          <w:color w:val="5C6678"/>
          <w:sz w:val="21"/>
          <w:szCs w:val="21"/>
        </w:rPr>
        <w:t xml:space="preserve">Explain why each required registration field (name, date of birth, sex, phone number) exists from a clinical and operational standpoint, not just that it's mandatory.</w:t>
      </w:r>
    </w:p>
    <w:p>
      <w:pPr>
        <w:pStyle w:val="ListParagraph"/>
        <w:numPr>
          <w:ilvl w:val="0"/>
          <w:numId w:val="2"/>
        </w:numPr>
        <w:spacing w:after="90"/>
      </w:pPr>
      <w:r>
        <w:rPr>
          <w:rFonts w:ascii="Calibri" w:cs="Calibri" w:eastAsia="Calibri" w:hAnsi="Calibri"/>
          <w:color w:val="5C6678"/>
          <w:sz w:val="21"/>
          <w:szCs w:val="21"/>
        </w:rPr>
        <w:t xml:space="preserve">Apply the Nigerian Surname-First-Middle naming convention correctly and explain why consistent naming format matters for search and identity matching.</w:t>
      </w:r>
    </w:p>
    <w:p>
      <w:pPr>
        <w:pStyle w:val="ListParagraph"/>
        <w:numPr>
          <w:ilvl w:val="0"/>
          <w:numId w:val="2"/>
        </w:numPr>
        <w:spacing w:after="90"/>
      </w:pPr>
      <w:r>
        <w:rPr>
          <w:rFonts w:ascii="Calibri" w:cs="Calibri" w:eastAsia="Calibri" w:hAnsi="Calibri"/>
          <w:color w:val="5C6678"/>
          <w:sz w:val="21"/>
          <w:szCs w:val="21"/>
        </w:rPr>
        <w:t xml:space="preserve">Identify which optional fields meaningfully accelerate future visits and insurance claims, and capture them proactively rather than only when asked.</w:t>
      </w:r>
    </w:p>
    <w:p>
      <w:pPr>
        <w:pStyle w:val="ListParagraph"/>
        <w:numPr>
          <w:ilvl w:val="0"/>
          <w:numId w:val="2"/>
        </w:numPr>
        <w:spacing w:after="90"/>
      </w:pPr>
      <w:r>
        <w:rPr>
          <w:rFonts w:ascii="Calibri" w:cs="Calibri" w:eastAsia="Calibri" w:hAnsi="Calibri"/>
          <w:color w:val="5C6678"/>
          <w:sz w:val="21"/>
          <w:szCs w:val="21"/>
        </w:rPr>
        <w:t xml:space="preserve">Use LabOS's fuzzy patient search — by name, phone (in any common format), hospital number, NHIS number, or email — to locate a patient in seconds rather than minutes.</w:t>
      </w:r>
    </w:p>
    <w:p>
      <w:pPr>
        <w:pStyle w:val="ListParagraph"/>
        <w:numPr>
          <w:ilvl w:val="0"/>
          <w:numId w:val="2"/>
        </w:numPr>
        <w:spacing w:after="90"/>
      </w:pPr>
      <w:r>
        <w:rPr>
          <w:rFonts w:ascii="Calibri" w:cs="Calibri" w:eastAsia="Calibri" w:hAnsi="Calibri"/>
          <w:color w:val="5C6678"/>
          <w:sz w:val="21"/>
          <w:szCs w:val="21"/>
        </w:rPr>
        <w:t xml:space="preserve">Explain how and why duplicate patient records occur, and correctly perform a controlled merge without losing clinical history.</w:t>
      </w:r>
    </w:p>
    <w:p>
      <w:pPr>
        <w:pStyle w:val="ListParagraph"/>
        <w:numPr>
          <w:ilvl w:val="0"/>
          <w:numId w:val="2"/>
        </w:numPr>
        <w:spacing w:after="90"/>
      </w:pPr>
      <w:r>
        <w:rPr>
          <w:rFonts w:ascii="Calibri" w:cs="Calibri" w:eastAsia="Calibri" w:hAnsi="Calibri"/>
          <w:color w:val="5C6678"/>
          <w:sz w:val="21"/>
          <w:szCs w:val="21"/>
        </w:rPr>
        <w:t xml:space="preserve">Identify which roles are permitted to perform a patient merge, and explain why that permission is restricted rather than open to all staff.</w:t>
      </w:r>
    </w:p>
    <w:p>
      <w:pPr>
        <w:pStyle w:val="ListParagraph"/>
        <w:numPr>
          <w:ilvl w:val="0"/>
          <w:numId w:val="2"/>
        </w:numPr>
        <w:spacing w:after="90"/>
      </w:pPr>
      <w:r>
        <w:rPr>
          <w:rFonts w:ascii="Calibri" w:cs="Calibri" w:eastAsia="Calibri" w:hAnsi="Calibri"/>
          <w:color w:val="5C6678"/>
          <w:sz w:val="21"/>
          <w:szCs w:val="21"/>
        </w:rPr>
        <w:t xml:space="preserve">Apply chronic-disease tags appropriately, and explain the downstream effect of the renal tag specifically on a patient's record.</w:t>
      </w:r>
    </w:p>
    <w:p>
      <w:pPr>
        <w:pStyle w:val="ListParagraph"/>
        <w:numPr>
          <w:ilvl w:val="0"/>
          <w:numId w:val="2"/>
        </w:numPr>
        <w:spacing w:after="90"/>
      </w:pPr>
      <w:r>
        <w:rPr>
          <w:rFonts w:ascii="Calibri" w:cs="Calibri" w:eastAsia="Calibri" w:hAnsi="Calibri"/>
          <w:color w:val="5C6678"/>
          <w:sz w:val="21"/>
          <w:szCs w:val="21"/>
        </w:rPr>
        <w:t xml:space="preserve">Capture a complete, accurate set of vital signs, and recognise which values will trigger an automatic critical alert.</w:t>
      </w:r>
    </w:p>
    <w:p>
      <w:pPr>
        <w:pStyle w:val="ListParagraph"/>
        <w:numPr>
          <w:ilvl w:val="0"/>
          <w:numId w:val="2"/>
        </w:numPr>
        <w:spacing w:after="90"/>
      </w:pPr>
      <w:r>
        <w:rPr>
          <w:rFonts w:ascii="Calibri" w:cs="Calibri" w:eastAsia="Calibri" w:hAnsi="Calibri"/>
          <w:color w:val="5C6678"/>
          <w:sz w:val="21"/>
          <w:szCs w:val="21"/>
        </w:rPr>
        <w:t xml:space="preserve">Explain LabOS's role-based model for sensitive clinical data (HIV status, mental health, STI panels, paternity results), and why the audit log for these fields is hash-chained.</w:t>
      </w:r>
    </w:p>
    <w:p>
      <w:r>
        <w:br w:type="page"/>
      </w:r>
    </w:p>
    <w:p>
      <w:pPr>
        <w:spacing w:after="60"/>
      </w:pPr>
      <w:r>
        <w:rPr>
          <w:rFonts w:ascii="Calibri" w:cs="Calibri" w:eastAsia="Calibri" w:hAnsi="Calibri"/>
          <w:b/>
          <w:bCs/>
          <w:color w:val="A8552E"/>
          <w:spacing w:val="14"/>
          <w:sz w:val="17"/>
          <w:szCs w:val="17"/>
        </w:rPr>
        <w:t xml:space="preserve">MODULE 2</w:t>
      </w:r>
    </w:p>
    <w:p>
      <w:pPr>
        <w:pStyle w:val="Heading1"/>
      </w:pPr>
      <w:r>
        <w:rPr>
          <w:rFonts w:ascii="Calibri" w:cs="Calibri" w:eastAsia="Calibri" w:hAnsi="Calibri"/>
        </w:rPr>
        <w:t xml:space="preserve">Key Concepts</w:t>
      </w:r>
    </w:p>
    <w:p>
      <w:pPr>
        <w:spacing w:after="200"/>
      </w:pPr>
      <w:r>
        <w:rPr>
          <w:rFonts w:ascii="Calibri" w:cs="Calibri" w:eastAsia="Calibri" w:hAnsi="Calibri"/>
          <w:color w:val="5C6678"/>
          <w:sz w:val="23"/>
          <w:szCs w:val="23"/>
        </w:rPr>
        <w:t xml:space="preserve">These ideas recur across every lesson in this module, and several of them will resurface in later modules — particularly Module 5 (Billing &amp; Payments) and Module 11 (Compliance &amp; Security), both of which depend on the patient record being built correctly here.</w:t>
      </w:r>
    </w:p>
    <w:p>
      <w:pPr>
        <w:spacing w:after="80"/>
      </w:pPr>
    </w:p>
    <w:p>
      <w:pPr>
        <w:spacing w:after="100" w:before="220"/>
      </w:pPr>
      <w:r>
        <w:rPr>
          <w:rFonts w:ascii="Calibri" w:cs="Calibri" w:eastAsia="Calibri" w:hAnsi="Calibri"/>
          <w:b/>
          <w:bCs/>
          <w:color w:val="0E1F33"/>
          <w:sz w:val="22"/>
          <w:szCs w:val="22"/>
        </w:rPr>
        <w:t xml:space="preserve">Concept: The patient record is the single source of truth for everything that follows</w:t>
      </w:r>
    </w:p>
    <w:p>
      <w:pPr>
        <w:spacing w:after="160"/>
      </w:pPr>
      <w:r>
        <w:rPr>
          <w:rFonts w:ascii="Calibri" w:cs="Calibri" w:eastAsia="Calibri" w:hAnsi="Calibri"/>
          <w:color w:val="5C6678"/>
          <w:sz w:val="21"/>
          <w:szCs w:val="21"/>
        </w:rPr>
        <w:t xml:space="preserve">Nothing downstream re-asks for a patient's date of birth or sex. The scientist entering a haemoglobin result trusts that the sex on file is correct, because it determines which reference range LabOS applies automatically. If the field was entered wrong at registration — or worse, left as a guess — that error doesn't announce itself; it silently produces a clinically plausible but incorrect High/Low flag, days or weeks later, for someone who may never connect the bad flag back to a registration mistake.</w:t>
      </w:r>
    </w:p>
    <w:p>
      <w:pPr>
        <w:spacing w:after="100" w:before="220"/>
      </w:pPr>
      <w:r>
        <w:rPr>
          <w:rFonts w:ascii="Calibri" w:cs="Calibri" w:eastAsia="Calibri" w:hAnsi="Calibri"/>
          <w:b/>
          <w:bCs/>
          <w:color w:val="0E1F33"/>
          <w:sz w:val="22"/>
          <w:szCs w:val="22"/>
        </w:rPr>
        <w:t xml:space="preserve">Concept: Required fields exist because of what they unlock, not because a form needed filling</w:t>
      </w:r>
    </w:p>
    <w:p>
      <w:pPr>
        <w:spacing w:after="160"/>
      </w:pPr>
      <w:r>
        <w:rPr>
          <w:rFonts w:ascii="Calibri" w:cs="Calibri" w:eastAsia="Calibri" w:hAnsi="Calibri"/>
          <w:color w:val="5C6678"/>
          <w:sz w:val="21"/>
          <w:szCs w:val="21"/>
        </w:rPr>
        <w:t xml:space="preserve">Date of birth isn't collected to satisfy a form — it's collected because LabOS uses it to compute age, and age drives age-specific reference ranges throughout the system. Sex isn't collected for demographic record-keeping alone — sex-specific reference ranges (haemoglobin, PSA, hCG, and others) depend on it directly. Phone number isn't collected just to have a contact method on file — it's the delivery channel for SMS and WhatsApp report delivery, which Module 1 already showed you depends on a correctly formatted number. Every required field traces to a specific downstream capability; understanding that connection is what separates competent registration from mechanical form-filling.</w:t>
      </w:r>
    </w:p>
    <w:p>
      <w:pPr>
        <w:spacing w:after="100" w:before="220"/>
      </w:pPr>
      <w:r>
        <w:rPr>
          <w:rFonts w:ascii="Calibri" w:cs="Calibri" w:eastAsia="Calibri" w:hAnsi="Calibri"/>
          <w:b/>
          <w:bCs/>
          <w:color w:val="0E1F33"/>
          <w:sz w:val="22"/>
          <w:szCs w:val="22"/>
        </w:rPr>
        <w:t xml:space="preserve">Concept: Sensitive data access is role-gated, not record-gated</w:t>
      </w:r>
    </w:p>
    <w:p>
      <w:pPr>
        <w:spacing w:after="160"/>
      </w:pPr>
      <w:r>
        <w:rPr>
          <w:rFonts w:ascii="Calibri" w:cs="Calibri" w:eastAsia="Calibri" w:hAnsi="Calibri"/>
          <w:color w:val="5C6678"/>
          <w:sz w:val="21"/>
          <w:szCs w:val="21"/>
        </w:rPr>
        <w:t xml:space="preserve">Most of a patient's biodata — name, age, sex — is visible to any authenticated user in your tenant, because most staff legitimately need it to do their job. But specific categories of result — HIV status, mental health diagnoses, STI panels, paternity results — are visible only to specific roles, and in some cases only to specifically-authorised individuals per patient. This is not the same protection mechanism as the centre-scoping you learned in Module 1; it's a second, independent layer, because clinical sensitivity and organisational structure are different problems that happen to both require access control.</w:t>
      </w:r>
    </w:p>
    <w:p>
      <w:r>
        <w:br w:type="page"/>
      </w:r>
    </w:p>
    <w:p>
      <w:pPr>
        <w:pBdr>
          <w:top w:val="single" w:color="0E1F33" w:sz="14" w:space="10"/>
        </w:pBdr>
        <w:spacing w:after="200" w:before="360"/>
      </w:pPr>
      <w:r>
        <w:rPr>
          <w:rFonts w:ascii="Calibri" w:cs="Calibri" w:eastAsia="Calibri" w:hAnsi="Calibri"/>
          <w:b/>
          <w:bCs/>
          <w:color w:val="0E1F33"/>
          <w:spacing w:val="10"/>
          <w:sz w:val="19"/>
          <w:szCs w:val="19"/>
        </w:rPr>
        <w:t xml:space="preserve">BEST PRACTICES — MODULE 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0E1F33" w:sz="18"/>
              <w:bottom w:val="single" w:color="D8DCE2" w:sz="4"/>
              <w:right w:val="single" w:color="D8DCE2" w:sz="4"/>
            </w:tcBorders>
            <w:shd w:fill="E8F3FE" w:val="clear"/>
            <w:tcMar>
              <w:top w:type="dxa" w:w="180"/>
              <w:left w:type="dxa" w:w="220"/>
              <w:bottom w:type="dxa" w:w="180"/>
              <w:right w:type="dxa" w:w="220"/>
            </w:tcMar>
          </w:tcPr>
          <w:p>
            <w:pPr>
              <w:spacing w:after="100"/>
            </w:pPr>
            <w:r>
              <w:rPr>
                <w:rFonts w:ascii="Calibri" w:cs="Calibri" w:eastAsia="Calibri" w:hAnsi="Calibri"/>
                <w:b/>
                <w:bCs/>
                <w:color w:val="0E1F33"/>
                <w:spacing w:val="8"/>
                <w:sz w:val="19"/>
                <w:szCs w:val="19"/>
              </w:rPr>
              <w:t xml:space="preserve">APPLY THESE FROM DAY ONE</w:t>
            </w:r>
          </w:p>
          <w:p>
            <w:pPr>
              <w:pStyle w:val="ListParagraph"/>
              <w:numPr>
                <w:ilvl w:val="0"/>
                <w:numId w:val="3"/>
              </w:numPr>
              <w:spacing w:after="70"/>
            </w:pPr>
            <w:r>
              <w:rPr>
                <w:rFonts w:ascii="Calibri" w:cs="Calibri" w:eastAsia="Calibri" w:hAnsi="Calibri"/>
                <w:color w:val="5C6678"/>
                <w:sz w:val="20"/>
                <w:szCs w:val="20"/>
              </w:rPr>
              <w:t xml:space="preserve">Capture every optional field you reasonably can at first registration — hospital number, NHIS/HMO policy number, blood group, genotype, allergies — even though only four fields are mandatory. The five extra minutes at registration saves far more time across a patient's later visits.</w:t>
            </w:r>
          </w:p>
          <w:p>
            <w:pPr>
              <w:pStyle w:val="ListParagraph"/>
              <w:numPr>
                <w:ilvl w:val="0"/>
                <w:numId w:val="3"/>
              </w:numPr>
              <w:spacing w:after="70"/>
            </w:pPr>
            <w:r>
              <w:rPr>
                <w:rFonts w:ascii="Calibri" w:cs="Calibri" w:eastAsia="Calibri" w:hAnsi="Calibri"/>
                <w:color w:val="5C6678"/>
                <w:sz w:val="20"/>
                <w:szCs w:val="20"/>
              </w:rPr>
              <w:t xml:space="preserve">Always use the patient's NIN or passport spelling for their name when available, even if it differs from how they introduce themselves verbally — consistent spelling is what makes fuzzy search and duplicate detection actually work.</w:t>
            </w:r>
          </w:p>
          <w:p>
            <w:pPr>
              <w:pStyle w:val="ListParagraph"/>
              <w:numPr>
                <w:ilvl w:val="0"/>
                <w:numId w:val="3"/>
              </w:numPr>
              <w:spacing w:after="70"/>
            </w:pPr>
            <w:r>
              <w:rPr>
                <w:rFonts w:ascii="Calibri" w:cs="Calibri" w:eastAsia="Calibri" w:hAnsi="Calibri"/>
                <w:color w:val="5C6678"/>
                <w:sz w:val="20"/>
                <w:szCs w:val="20"/>
              </w:rPr>
              <w:t xml:space="preserve">Before registering a new patient, search first — a five-second fuzzy search by phone number catches the majority of would-be duplicates before they're ever created.</w:t>
            </w:r>
          </w:p>
          <w:p>
            <w:pPr>
              <w:pStyle w:val="ListParagraph"/>
              <w:numPr>
                <w:ilvl w:val="0"/>
                <w:numId w:val="3"/>
              </w:numPr>
              <w:spacing w:after="70"/>
            </w:pPr>
            <w:r>
              <w:rPr>
                <w:rFonts w:ascii="Calibri" w:cs="Calibri" w:eastAsia="Calibri" w:hAnsi="Calibri"/>
                <w:color w:val="5C6678"/>
                <w:sz w:val="20"/>
                <w:szCs w:val="20"/>
              </w:rPr>
              <w:t xml:space="preserve">When capturing vitals, enter every field the modal asks for, not just the ones that seem relevant to today's visit — a longitudinal vitals history is far more clinically useful than isolated readings.</w:t>
            </w:r>
          </w:p>
        </w:tc>
      </w:tr>
    </w:tbl>
    <w:p>
      <w:pPr>
        <w:spacing w:after="180"/>
      </w:pPr>
    </w:p>
    <w:p>
      <w:pPr>
        <w:pBdr>
          <w:top w:val="single" w:color="0E1F33" w:sz="14" w:space="10"/>
        </w:pBdr>
        <w:spacing w:after="200" w:before="360"/>
      </w:pPr>
      <w:r>
        <w:rPr>
          <w:rFonts w:ascii="Calibri" w:cs="Calibri" w:eastAsia="Calibri" w:hAnsi="Calibri"/>
          <w:b/>
          <w:bCs/>
          <w:color w:val="0E1F33"/>
          <w:spacing w:val="10"/>
          <w:sz w:val="19"/>
          <w:szCs w:val="19"/>
        </w:rPr>
        <w:t xml:space="preserve">COMMON MISTAKES — MODULE 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A8552E" w:sz="18"/>
              <w:bottom w:val="single" w:color="D8DCE2" w:sz="4"/>
              <w:right w:val="single" w:color="D8DCE2" w:sz="4"/>
            </w:tcBorders>
            <w:shd w:fill="F7F5F0" w:val="clear"/>
            <w:tcMar>
              <w:top w:type="dxa" w:w="180"/>
              <w:left w:type="dxa" w:w="220"/>
              <w:bottom w:type="dxa" w:w="180"/>
              <w:right w:type="dxa" w:w="220"/>
            </w:tcMar>
          </w:tcPr>
          <w:p>
            <w:pPr>
              <w:spacing w:after="100"/>
            </w:pPr>
            <w:r>
              <w:rPr>
                <w:rFonts w:ascii="Calibri" w:cs="Calibri" w:eastAsia="Calibri" w:hAnsi="Calibri"/>
                <w:b/>
                <w:bCs/>
                <w:color w:val="A8552E"/>
                <w:spacing w:val="8"/>
                <w:sz w:val="19"/>
                <w:szCs w:val="19"/>
              </w:rPr>
              <w:t xml:space="preserve">WATCH FOR THESE</w:t>
            </w:r>
          </w:p>
          <w:p>
            <w:pPr>
              <w:pStyle w:val="ListParagraph"/>
              <w:numPr>
                <w:ilvl w:val="0"/>
                <w:numId w:val="3"/>
              </w:numPr>
              <w:spacing w:after="70"/>
            </w:pPr>
            <w:r>
              <w:rPr>
                <w:rFonts w:ascii="Calibri" w:cs="Calibri" w:eastAsia="Calibri" w:hAnsi="Calibri"/>
                <w:color w:val="5C6678"/>
                <w:sz w:val="20"/>
                <w:szCs w:val="20"/>
              </w:rPr>
              <w:t xml:space="preserve">Registering a patient as a new record because a quick name-only search didn't find them, when a phone-number or hospital-number search would have — leading directly to the duplicate-merge problem covered in Lesson 2.2.</w:t>
            </w:r>
          </w:p>
          <w:p>
            <w:pPr>
              <w:pStyle w:val="ListParagraph"/>
              <w:numPr>
                <w:ilvl w:val="0"/>
                <w:numId w:val="3"/>
              </w:numPr>
              <w:spacing w:after="70"/>
            </w:pPr>
            <w:r>
              <w:rPr>
                <w:rFonts w:ascii="Calibri" w:cs="Calibri" w:eastAsia="Calibri" w:hAnsi="Calibri"/>
                <w:color w:val="5C6678"/>
                <w:sz w:val="20"/>
                <w:szCs w:val="20"/>
              </w:rPr>
              <w:t xml:space="preserve">Leaving date of birth blank and entering only an approximate age, when an exact DOB was available — this silently degrades the precision of every future age-specific reference range.</w:t>
            </w:r>
          </w:p>
          <w:p>
            <w:pPr>
              <w:pStyle w:val="ListParagraph"/>
              <w:numPr>
                <w:ilvl w:val="0"/>
                <w:numId w:val="3"/>
              </w:numPr>
              <w:spacing w:after="70"/>
            </w:pPr>
            <w:r>
              <w:rPr>
                <w:rFonts w:ascii="Calibri" w:cs="Calibri" w:eastAsia="Calibri" w:hAnsi="Calibri"/>
                <w:color w:val="5C6678"/>
                <w:sz w:val="20"/>
                <w:szCs w:val="20"/>
              </w:rPr>
              <w:t xml:space="preserve">Treating the renal tag, or other chronic-disease tags, as cosmetic labels rather than functional switches that route the patient into specialty modules and dashboard widgets.</w:t>
            </w:r>
          </w:p>
          <w:p>
            <w:pPr>
              <w:pStyle w:val="ListParagraph"/>
              <w:numPr>
                <w:ilvl w:val="0"/>
                <w:numId w:val="3"/>
              </w:numPr>
              <w:spacing w:after="70"/>
            </w:pPr>
            <w:r>
              <w:rPr>
                <w:rFonts w:ascii="Calibri" w:cs="Calibri" w:eastAsia="Calibri" w:hAnsi="Calibri"/>
                <w:color w:val="5C6678"/>
                <w:sz w:val="20"/>
                <w:szCs w:val="20"/>
              </w:rPr>
              <w:t xml:space="preserve">Assuming any staff member can perform a patient merge, and being surprised when the action is unavailable — merge is deliberately restricted to TENANT_ADMIN and LAB_DIRECTOR roles only.</w:t>
            </w:r>
          </w:p>
        </w:tc>
      </w:tr>
    </w:tbl>
    <w:p>
      <w:r>
        <w:br w:type="page"/>
      </w:r>
    </w:p>
    <w:p>
      <w:pPr>
        <w:spacing w:after="60"/>
      </w:pPr>
      <w:r>
        <w:rPr>
          <w:rFonts w:ascii="Calibri" w:cs="Calibri" w:eastAsia="Calibri" w:hAnsi="Calibri"/>
          <w:b/>
          <w:bCs/>
          <w:color w:val="A8552E"/>
          <w:spacing w:val="14"/>
          <w:sz w:val="17"/>
          <w:szCs w:val="17"/>
        </w:rPr>
        <w:t xml:space="preserve">LESSON 2.1</w:t>
      </w:r>
    </w:p>
    <w:p>
      <w:pPr>
        <w:pStyle w:val="Heading1"/>
      </w:pPr>
      <w:r>
        <w:rPr>
          <w:rFonts w:ascii="Calibri" w:cs="Calibri" w:eastAsia="Calibri" w:hAnsi="Calibri"/>
        </w:rPr>
        <w:t xml:space="preserve">Capturing a Patient Correctly the First Time</w:t>
      </w:r>
    </w:p>
    <w:p>
      <w:pPr>
        <w:spacing w:after="200"/>
      </w:pPr>
      <w:r>
        <w:rPr>
          <w:rFonts w:ascii="Calibri" w:cs="Calibri" w:eastAsia="Calibri" w:hAnsi="Calibri"/>
          <w:color w:val="5C6678"/>
          <w:sz w:val="23"/>
          <w:szCs w:val="23"/>
        </w:rPr>
        <w:t xml:space="preserve">Registration and search are taught as one lesson because they are two halves of the same problem: a record that's captured well is a record that can be found again — and a record that can't be found again gets duplicated, which is exactly the problem Lesson 2.2 exists to clean up.</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what to capture at registration, why each field matters beyond simply being marked required, and how to find a patient again quickly once they're in the system. By the end, a learner should be able to register a new patient with genuine understanding of what each field unlocks downstream, and locate any existing patient in seconds using LabOS's fuzzy search — by name, phone number in any format, hospital number, NHIS number, or email.</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In a paper-based laboratory, a patient's identity was whatever was written on a request slip that day — spelled however the person writing it happened to spell it, with no system checking for consistency against a previous visit. This is precisely how the same person ends up as three different "patients" in a paper register over a year of visits, each with a fragment of their real history, none of them complete. Digital registration only solves this problem if the data entered is good enough to make search reliable. A LIMS with fuzzy search and a digital record is still functionally no better than paper if staff enter names inconsistently or skip the phone number because "there's no time right now" — the technology only delivers its advantage when the underlying data discipline is there to support it.</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Required registration fields: full name (Nigerian Surname-First-Middle convention), date of birth, sex, phone number.</w:t>
      </w:r>
    </w:p>
    <w:p>
      <w:pPr>
        <w:pStyle w:val="ListParagraph"/>
        <w:numPr>
          <w:ilvl w:val="0"/>
          <w:numId w:val="3"/>
        </w:numPr>
        <w:spacing w:after="90"/>
      </w:pPr>
      <w:r>
        <w:rPr>
          <w:rFonts w:ascii="Calibri" w:cs="Calibri" w:eastAsia="Calibri" w:hAnsi="Calibri"/>
          <w:color w:val="5C6678"/>
          <w:sz w:val="21"/>
          <w:szCs w:val="21"/>
        </w:rPr>
        <w:t xml:space="preserve">Optional but high-value fields: hospital number, address, next of kin, blood group, genotype, allergies, NHIS/HMO policy number, occupation, nationality.</w:t>
      </w:r>
    </w:p>
    <w:p>
      <w:pPr>
        <w:pStyle w:val="ListParagraph"/>
        <w:numPr>
          <w:ilvl w:val="0"/>
          <w:numId w:val="3"/>
        </w:numPr>
        <w:spacing w:after="90"/>
      </w:pPr>
      <w:r>
        <w:rPr>
          <w:rFonts w:ascii="Calibri" w:cs="Calibri" w:eastAsia="Calibri" w:hAnsi="Calibri"/>
          <w:color w:val="5C6678"/>
          <w:sz w:val="21"/>
          <w:szCs w:val="21"/>
        </w:rPr>
        <w:t xml:space="preserve">The distinction between the auto-generated patient ID (PT-2026-NNNN) and an editable internal hospital number.</w:t>
      </w:r>
    </w:p>
    <w:p>
      <w:pPr>
        <w:pStyle w:val="ListParagraph"/>
        <w:numPr>
          <w:ilvl w:val="0"/>
          <w:numId w:val="3"/>
        </w:numPr>
        <w:spacing w:after="90"/>
      </w:pPr>
      <w:r>
        <w:rPr>
          <w:rFonts w:ascii="Calibri" w:cs="Calibri" w:eastAsia="Calibri" w:hAnsi="Calibri"/>
          <w:color w:val="5C6678"/>
          <w:sz w:val="21"/>
          <w:szCs w:val="21"/>
        </w:rPr>
        <w:t xml:space="preserve">Fuzzy patient search on the Patients page: matches on name, phone, hospital number, NHIS number, and email, tolerant of typos and partial words.</w:t>
      </w:r>
    </w:p>
    <w:p>
      <w:pPr>
        <w:pStyle w:val="ListParagraph"/>
        <w:numPr>
          <w:ilvl w:val="0"/>
          <w:numId w:val="3"/>
        </w:numPr>
        <w:spacing w:after="90"/>
      </w:pPr>
      <w:r>
        <w:rPr>
          <w:rFonts w:ascii="Calibri" w:cs="Calibri" w:eastAsia="Calibri" w:hAnsi="Calibri"/>
          <w:color w:val="5C6678"/>
          <w:sz w:val="21"/>
          <w:szCs w:val="21"/>
        </w:rPr>
        <w:t xml:space="preserve">Phone number normalisation — different formats of the same number match correctly.</w:t>
      </w:r>
    </w:p>
    <w:p>
      <w:pPr>
        <w:pStyle w:val="ListParagraph"/>
        <w:numPr>
          <w:ilvl w:val="0"/>
          <w:numId w:val="3"/>
        </w:numPr>
        <w:spacing w:after="90"/>
      </w:pPr>
      <w:r>
        <w:rPr>
          <w:rFonts w:ascii="Calibri" w:cs="Calibri" w:eastAsia="Calibri" w:hAnsi="Calibri"/>
          <w:color w:val="5C6678"/>
          <w:sz w:val="21"/>
          <w:szCs w:val="21"/>
        </w:rPr>
        <w:t xml:space="preserve">Finding a patient instantly from anywhere using Ctrl+K / ⌘K.</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Capturing the four required fields with intent</w:t>
      </w:r>
    </w:p>
    <w:p>
      <w:pPr>
        <w:spacing w:after="160"/>
      </w:pPr>
      <w:r>
        <w:rPr>
          <w:rFonts w:ascii="Calibri" w:cs="Calibri" w:eastAsia="Calibri" w:hAnsi="Calibri"/>
          <w:color w:val="5C6678"/>
          <w:sz w:val="21"/>
          <w:szCs w:val="21"/>
        </w:rPr>
        <w:t xml:space="preserve">Full name follows the Nigerian convention of Surname-First-Middle — for example, Adeyemi James Olu, where Adeyemi is the surname. When a patient's NIN or passport is available, match that exact spelling rather than however the name sounds when spoken — this single habit is the difference between a fuzzy search finding a returning patient instantly and that patient being registered a second time. Date of birth exists specifically to compute age, which in turn drives age-specific reference ranges across the entire results pipeline — if an exact DOB genuinely isn't known, age in years alone is an acceptable fallback, but it should be exactly that: a fallback, not a default convenience. Sex is biological sex, captured specifically because certain reference ranges — haemoglobin, PSA, hCG among them — are sex-specific; getting this field wrong doesn't just mis-file a demographic detail, it silently changes which normal range a future result is measured against. Phone number should be captured in international format (+234 ...) because that is the format LabOS's SMS and WhatsApp delivery — covered in Module 1 — depends on for reliable report delivery.</w:t>
      </w:r>
    </w:p>
    <w:p>
      <w:pPr>
        <w:spacing w:after="100" w:before="220"/>
      </w:pPr>
      <w:r>
        <w:rPr>
          <w:rFonts w:ascii="Calibri" w:cs="Calibri" w:eastAsia="Calibri" w:hAnsi="Calibri"/>
          <w:b/>
          <w:bCs/>
          <w:color w:val="0E1F33"/>
          <w:sz w:val="20"/>
          <w:szCs w:val="20"/>
        </w:rPr>
        <w:t xml:space="preserve">Why the optional fields are worth capturing anyway</w:t>
      </w:r>
    </w:p>
    <w:p>
      <w:pPr>
        <w:spacing w:after="160"/>
      </w:pPr>
      <w:r>
        <w:rPr>
          <w:rFonts w:ascii="Calibri" w:cs="Calibri" w:eastAsia="Calibri" w:hAnsi="Calibri"/>
          <w:color w:val="5C6678"/>
          <w:sz w:val="21"/>
          <w:szCs w:val="21"/>
        </w:rPr>
        <w:t xml:space="preserve">Hospital number, address, next of kin, blood group, genotype, allergies, NHIS or HMO policy number, occupation, and nationality are all optional — but "optional" here means "not required to save the record," not "unimportant." Each one removes friction from a later visit or a later process: a captured NHIS policy number means the billing stage in Module 5 doesn't require a front-desk officer to track it down mid-claim; a captured blood group and genotype can matter clinically in an emergency; a captured next-of-kin contact matters the moment a critical result needs an urgent callback and the patient isn't reachable. The five minutes spent capturing these fields at first registration is consistently cheaper than the time lost chasing them down later, under pressure, during a subsequent visit.</w:t>
      </w:r>
    </w:p>
    <w:p>
      <w:pPr>
        <w:spacing w:after="100" w:before="220"/>
      </w:pPr>
      <w:r>
        <w:rPr>
          <w:rFonts w:ascii="Calibri" w:cs="Calibri" w:eastAsia="Calibri" w:hAnsi="Calibri"/>
          <w:b/>
          <w:bCs/>
          <w:color w:val="0E1F33"/>
          <w:sz w:val="20"/>
          <w:szCs w:val="20"/>
        </w:rPr>
        <w:t xml:space="preserve">Patient ID versus hospital number — a distinction worth getting right</w:t>
      </w:r>
    </w:p>
    <w:p>
      <w:pPr>
        <w:spacing w:after="160"/>
      </w:pPr>
      <w:r>
        <w:rPr>
          <w:rFonts w:ascii="Calibri" w:cs="Calibri" w:eastAsia="Calibri" w:hAnsi="Calibri"/>
          <w:color w:val="5C6678"/>
          <w:sz w:val="21"/>
          <w:szCs w:val="21"/>
        </w:rPr>
        <w:t xml:space="preserve">LabOS auto-generates a patient ID in the PT-2026-NNNN format the moment a record is created — this ID is unique across your entire tenant and cannot be edited, by design, for exactly the same reason covered in Module 1: a stable, system-generated identifier is what every later lookup and audit trail relies on. The hospital number is a separate, editable field, intended for laboratories that already operate their own internal numbering scheme and want to preserve it inside LabOS. Confusing the two — for example, trying to "correct" the auto-generated patient ID to match an internal scheme — breaks the very lookup mechanism the patient ID exists to guarantee.</w:t>
      </w:r>
    </w:p>
    <w:p>
      <w:pPr>
        <w:spacing w:after="100" w:before="220"/>
      </w:pPr>
      <w:r>
        <w:rPr>
          <w:rFonts w:ascii="Calibri" w:cs="Calibri" w:eastAsia="Calibri" w:hAnsi="Calibri"/>
          <w:b/>
          <w:bCs/>
          <w:color w:val="0E1F33"/>
          <w:sz w:val="20"/>
          <w:szCs w:val="20"/>
        </w:rPr>
        <w:t xml:space="preserve">Finding a patient again, fast</w:t>
      </w:r>
    </w:p>
    <w:p>
      <w:pPr>
        <w:spacing w:after="160"/>
      </w:pPr>
      <w:r>
        <w:rPr>
          <w:rFonts w:ascii="Calibri" w:cs="Calibri" w:eastAsia="Calibri" w:hAnsi="Calibri"/>
          <w:color w:val="5C6678"/>
          <w:sz w:val="21"/>
          <w:szCs w:val="21"/>
        </w:rPr>
        <w:t xml:space="preserve">The Patients page search box matches against name, phone, hospital number, NHIS number, and email simultaneously, and the matching is fuzzy — a typo or a partial word still finds the right person. Phone number search is normalised, meaning +234 803 555 1234 and 08035551234 are treated as the same number; there's no need to strip formatting manually before searching. The fastest path of all, available from literally any screen in LabOS, is Ctrl+K (⌘K on Mac) — start typing a patient's name and matching patients appear at the top of the results, already grouped by type, exactly as introduced in Module 1's command-palette lesson.</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search before registering — a five-second phone-number search prevents the majority of duplicate records before they happen.</w:t>
      </w:r>
    </w:p>
    <w:p>
      <w:pPr>
        <w:pStyle w:val="ListParagraph"/>
        <w:numPr>
          <w:ilvl w:val="0"/>
          <w:numId w:val="3"/>
        </w:numPr>
        <w:spacing w:after="90"/>
      </w:pPr>
      <w:r>
        <w:rPr>
          <w:rFonts w:ascii="Calibri" w:cs="Calibri" w:eastAsia="Calibri" w:hAnsi="Calibri"/>
          <w:color w:val="5C6678"/>
          <w:sz w:val="21"/>
          <w:szCs w:val="21"/>
        </w:rPr>
        <w:t xml:space="preserve">Capture optional fields proactively at first registration rather than treating them as someone else's problem for a later visit.</w:t>
      </w:r>
    </w:p>
    <w:p>
      <w:pPr>
        <w:pStyle w:val="ListParagraph"/>
        <w:numPr>
          <w:ilvl w:val="0"/>
          <w:numId w:val="3"/>
        </w:numPr>
        <w:spacing w:after="90"/>
      </w:pPr>
      <w:r>
        <w:rPr>
          <w:rFonts w:ascii="Calibri" w:cs="Calibri" w:eastAsia="Calibri" w:hAnsi="Calibri"/>
          <w:color w:val="5C6678"/>
          <w:sz w:val="21"/>
          <w:szCs w:val="21"/>
        </w:rPr>
        <w:t xml:space="preserve">Use exact NIN/passport spelling for names whenever the document is available, even if it doesn't match how the patient pronounces or introduces their own name.</w:t>
      </w:r>
    </w:p>
    <w:p>
      <w:pPr>
        <w:pStyle w:val="ListParagraph"/>
        <w:numPr>
          <w:ilvl w:val="0"/>
          <w:numId w:val="3"/>
        </w:numPr>
        <w:spacing w:after="90"/>
      </w:pPr>
      <w:r>
        <w:rPr>
          <w:rFonts w:ascii="Calibri" w:cs="Calibri" w:eastAsia="Calibri" w:hAnsi="Calibri"/>
          <w:color w:val="5C6678"/>
          <w:sz w:val="21"/>
          <w:szCs w:val="21"/>
        </w:rPr>
        <w:t xml:space="preserve">Treat phone number format as a delivery-reliability issue, not a cosmetic one — always capture it in international format.</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Registering a new patient after a name-only search fails, without trying a phone-number or hospital-number search first.</w:t>
      </w:r>
    </w:p>
    <w:p>
      <w:pPr>
        <w:pStyle w:val="ListParagraph"/>
        <w:numPr>
          <w:ilvl w:val="0"/>
          <w:numId w:val="3"/>
        </w:numPr>
        <w:spacing w:after="90"/>
      </w:pPr>
      <w:r>
        <w:rPr>
          <w:rFonts w:ascii="Calibri" w:cs="Calibri" w:eastAsia="Calibri" w:hAnsi="Calibri"/>
          <w:color w:val="5C6678"/>
          <w:sz w:val="21"/>
          <w:szCs w:val="21"/>
        </w:rPr>
        <w:t xml:space="preserve">Leaving optional fields blank by default, treating "optional" as "skip," rather than "capture when reasonably available."</w:t>
      </w:r>
    </w:p>
    <w:p>
      <w:pPr>
        <w:pStyle w:val="ListParagraph"/>
        <w:numPr>
          <w:ilvl w:val="0"/>
          <w:numId w:val="3"/>
        </w:numPr>
        <w:spacing w:after="90"/>
      </w:pPr>
      <w:r>
        <w:rPr>
          <w:rFonts w:ascii="Calibri" w:cs="Calibri" w:eastAsia="Calibri" w:hAnsi="Calibri"/>
          <w:color w:val="5C6678"/>
          <w:sz w:val="21"/>
          <w:szCs w:val="21"/>
        </w:rPr>
        <w:t xml:space="preserve">Attempting to edit the auto-generated patient ID to match an internal numbering scheme, instead of using the separate, editable hospital number field for that purpose.</w:t>
      </w:r>
    </w:p>
    <w:p>
      <w:pPr>
        <w:pStyle w:val="ListParagraph"/>
        <w:numPr>
          <w:ilvl w:val="0"/>
          <w:numId w:val="3"/>
        </w:numPr>
        <w:spacing w:after="90"/>
      </w:pPr>
      <w:r>
        <w:rPr>
          <w:rFonts w:ascii="Calibri" w:cs="Calibri" w:eastAsia="Calibri" w:hAnsi="Calibri"/>
          <w:color w:val="5C6678"/>
          <w:sz w:val="21"/>
          <w:szCs w:val="21"/>
        </w:rPr>
        <w:t xml:space="preserve">Entering phone numbers inconsistently (some with country code, some without, some with spaces) without realising LabOS normalises this automatically — leading staff to manually reformat numbers unnecessarily.</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2.1 — REGISTER, THEN FIND</w:t>
            </w:r>
          </w:p>
          <w:p>
            <w:r>
              <w:rPr>
                <w:rFonts w:ascii="Calibri" w:cs="Calibri" w:eastAsia="Calibri" w:hAnsi="Calibri"/>
                <w:i/>
                <w:iCs/>
                <w:color w:val="0E1F33"/>
                <w:sz w:val="21"/>
                <w:szCs w:val="21"/>
              </w:rPr>
              <w:t xml:space="preserve">In a sandbox LabOS environment, register a new patient using the full Nigerian naming convention, complete date of birth, sex, and an international-format phone number, plus at least four optional fields of your choosing. Save the record and note the auto-generated patient ID. Then, using only the dashboard search box, find that same patient three separate ways: (1) by a deliberately misspelled version of their name, (2) by their phone number with spaces and without the country code, and (3) using Ctrl+K / ⌘K from a completely different page. Confirm all three methods correctly return the same patient record.</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Why does an incorrect "sex" field at registration create a problem that may not be noticed until much later?</w:t>
      </w:r>
    </w:p>
    <w:p>
      <w:pPr>
        <w:spacing w:after="60"/>
      </w:pPr>
      <w:r>
        <w:rPr>
          <w:rFonts w:ascii="Calibri" w:cs="Calibri" w:eastAsia="Calibri" w:hAnsi="Calibri"/>
          <w:color w:val="5C6678"/>
          <w:sz w:val="20"/>
          <w:szCs w:val="20"/>
        </w:rPr>
        <w:t xml:space="preserve">Because sex drives which reference range LabOS applies to certain results (haemoglobin, PSA, hCG, and others) automatically — an incorrect value doesn't produce an obvious error, it silently produces a clinically plausible but wrong High/Low/Normal flag on a future result, which may not be traced back to the original registration mistake.</w:t>
      </w:r>
    </w:p>
    <w:p>
      <w:pPr>
        <w:spacing w:after="50" w:before="140"/>
      </w:pPr>
      <w:r>
        <w:rPr>
          <w:rFonts w:ascii="Calibri" w:cs="Calibri" w:eastAsia="Calibri" w:hAnsi="Calibri"/>
          <w:b/>
          <w:bCs/>
          <w:color w:val="0E1F33"/>
          <w:sz w:val="21"/>
          <w:szCs w:val="21"/>
        </w:rPr>
        <w:t xml:space="preserve">2. A front-desk officer wants to change a patient's auto-generated PT-2026-NNNN ID to match their own internal filing system. What should they do instead, and why?</w:t>
      </w:r>
    </w:p>
    <w:p>
      <w:pPr>
        <w:spacing w:after="60"/>
      </w:pPr>
      <w:r>
        <w:rPr>
          <w:rFonts w:ascii="Calibri" w:cs="Calibri" w:eastAsia="Calibri" w:hAnsi="Calibri"/>
          <w:color w:val="5C6678"/>
          <w:sz w:val="20"/>
          <w:szCs w:val="20"/>
        </w:rPr>
        <w:t xml:space="preserve">Use the separate, editable hospital number field for their internal numbering scheme — the auto-generated patient ID is intentionally non-editable because every later lookup and audit trail across the tenant relies on it remaining stable and unique.</w:t>
      </w:r>
    </w:p>
    <w:p>
      <w:pPr>
        <w:spacing w:after="50" w:before="140"/>
      </w:pPr>
      <w:r>
        <w:rPr>
          <w:rFonts w:ascii="Calibri" w:cs="Calibri" w:eastAsia="Calibri" w:hAnsi="Calibri"/>
          <w:b/>
          <w:bCs/>
          <w:color w:val="0E1F33"/>
          <w:sz w:val="21"/>
          <w:szCs w:val="21"/>
        </w:rPr>
        <w:t xml:space="preserve">3. A patient calls and gives their phone number as "0803 555 1234" but their record was saved as "+234 803 555 1234." Will LabOS's search find them?</w:t>
      </w:r>
    </w:p>
    <w:p>
      <w:pPr>
        <w:spacing w:after="60"/>
      </w:pPr>
      <w:r>
        <w:rPr>
          <w:rFonts w:ascii="Calibri" w:cs="Calibri" w:eastAsia="Calibri" w:hAnsi="Calibri"/>
          <w:color w:val="5C6678"/>
          <w:sz w:val="20"/>
          <w:szCs w:val="20"/>
        </w:rPr>
        <w:t xml:space="preserve">Yes — LabOS normalises phone numbers during search, so both formats are treated as the same number and will correctly match.</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2.1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"Capturing a Patient Correctly the First Time" — CLA Module 2, Lesson 1</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register a patient with full understanding of why each field matters, and locate any existing patient using fuzzy search in under ten seconds.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8–10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presenter optionally on camera for the cold open and close</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4"/>
        </w:numPr>
        <w:spacing w:after="90"/>
      </w:pPr>
      <w:r>
        <w:rPr>
          <w:rFonts w:ascii="Calibri" w:cs="Calibri" w:eastAsia="Calibri" w:hAnsi="Calibri"/>
          <w:color w:val="5C6678"/>
          <w:sz w:val="21"/>
          <w:szCs w:val="21"/>
        </w:rPr>
        <w:t xml:space="preserve">Cold open (0:00–0:40) — "The patient record you create today might still be in use ten years from now. Let's make sure it's right."</w:t>
      </w:r>
    </w:p>
    <w:p>
      <w:pPr>
        <w:pStyle w:val="ListParagraph"/>
        <w:numPr>
          <w:ilvl w:val="0"/>
          <w:numId w:val="4"/>
        </w:numPr>
        <w:spacing w:after="90"/>
      </w:pPr>
      <w:r>
        <w:rPr>
          <w:rFonts w:ascii="Calibri" w:cs="Calibri" w:eastAsia="Calibri" w:hAnsi="Calibri"/>
          <w:color w:val="5C6678"/>
          <w:sz w:val="21"/>
          <w:szCs w:val="21"/>
        </w:rPr>
        <w:t xml:space="preserve">Why registration quality matters downstream — brief, concrete framing (0:40–1:45).</w:t>
      </w:r>
    </w:p>
    <w:p>
      <w:pPr>
        <w:pStyle w:val="ListParagraph"/>
        <w:numPr>
          <w:ilvl w:val="0"/>
          <w:numId w:val="4"/>
        </w:numPr>
        <w:spacing w:after="90"/>
      </w:pPr>
      <w:r>
        <w:rPr>
          <w:rFonts w:ascii="Calibri" w:cs="Calibri" w:eastAsia="Calibri" w:hAnsi="Calibri"/>
          <w:color w:val="5C6678"/>
          <w:sz w:val="21"/>
          <w:szCs w:val="21"/>
        </w:rPr>
        <w:t xml:space="preserve">Live registration demo: the four required fields, explained as they're entered (1:45–4:00).</w:t>
      </w:r>
    </w:p>
    <w:p>
      <w:pPr>
        <w:pStyle w:val="ListParagraph"/>
        <w:numPr>
          <w:ilvl w:val="0"/>
          <w:numId w:val="4"/>
        </w:numPr>
        <w:spacing w:after="90"/>
      </w:pPr>
      <w:r>
        <w:rPr>
          <w:rFonts w:ascii="Calibri" w:cs="Calibri" w:eastAsia="Calibri" w:hAnsi="Calibri"/>
          <w:color w:val="5C6678"/>
          <w:sz w:val="21"/>
          <w:szCs w:val="21"/>
        </w:rPr>
        <w:t xml:space="preserve">Optional fields — what they unlock, shown briefly but specifically, not just listed (4:00–5:30).</w:t>
      </w:r>
    </w:p>
    <w:p>
      <w:pPr>
        <w:pStyle w:val="ListParagraph"/>
        <w:numPr>
          <w:ilvl w:val="0"/>
          <w:numId w:val="4"/>
        </w:numPr>
        <w:spacing w:after="90"/>
      </w:pPr>
      <w:r>
        <w:rPr>
          <w:rFonts w:ascii="Calibri" w:cs="Calibri" w:eastAsia="Calibri" w:hAnsi="Calibri"/>
          <w:color w:val="5C6678"/>
          <w:sz w:val="21"/>
          <w:szCs w:val="21"/>
        </w:rPr>
        <w:t xml:space="preserve">Patient ID vs. hospital number — direct side-by-side explanation (5:30–6:30).</w:t>
      </w:r>
    </w:p>
    <w:p>
      <w:pPr>
        <w:pStyle w:val="ListParagraph"/>
        <w:numPr>
          <w:ilvl w:val="0"/>
          <w:numId w:val="4"/>
        </w:numPr>
        <w:spacing w:after="90"/>
      </w:pPr>
      <w:r>
        <w:rPr>
          <w:rFonts w:ascii="Calibri" w:cs="Calibri" w:eastAsia="Calibri" w:hAnsi="Calibri"/>
          <w:color w:val="5C6678"/>
          <w:sz w:val="21"/>
          <w:szCs w:val="21"/>
        </w:rPr>
        <w:t xml:space="preserve">Fuzzy search demo: name typo, phone number in two formats, Ctrl+K from another page (6:30–8:30).</w:t>
      </w:r>
    </w:p>
    <w:p>
      <w:pPr>
        <w:pStyle w:val="ListParagraph"/>
        <w:numPr>
          <w:ilvl w:val="0"/>
          <w:numId w:val="4"/>
        </w:numPr>
        <w:spacing w:after="90"/>
      </w:pPr>
      <w:r>
        <w:rPr>
          <w:rFonts w:ascii="Calibri" w:cs="Calibri" w:eastAsia="Calibri" w:hAnsi="Calibri"/>
          <w:color w:val="5C6678"/>
          <w:sz w:val="21"/>
          <w:szCs w:val="21"/>
        </w:rPr>
        <w:t xml:space="preserve">Close + transition to Lesson 2.2 (8:30–end).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When entering date of birth, say explicitly: "This isn't just a date — it's what calculates the reference range a scientist will compare a result against, possibly years from now." Make the downstream consequence audible at the moment of entry.</w:t>
      </w:r>
    </w:p>
    <w:p>
      <w:pPr>
        <w:pStyle w:val="ListParagraph"/>
        <w:numPr>
          <w:ilvl w:val="0"/>
          <w:numId w:val="3"/>
        </w:numPr>
        <w:spacing w:after="90"/>
      </w:pPr>
      <w:r>
        <w:rPr>
          <w:rFonts w:ascii="Calibri" w:cs="Calibri" w:eastAsia="Calibri" w:hAnsi="Calibri"/>
          <w:color w:val="5C6678"/>
          <w:sz w:val="21"/>
          <w:szCs w:val="21"/>
        </w:rPr>
        <w:t xml:space="preserve">When reaching the optional fields, pick two and narrate a brief, concrete payoff for each — e.g., "If I capture the NHIS number now, whoever handles billing later doesn't have to track it down mid-claim."</w:t>
      </w:r>
    </w:p>
    <w:p>
      <w:pPr>
        <w:pStyle w:val="ListParagraph"/>
        <w:numPr>
          <w:ilvl w:val="0"/>
          <w:numId w:val="3"/>
        </w:numPr>
        <w:spacing w:after="90"/>
      </w:pPr>
      <w:r>
        <w:rPr>
          <w:rFonts w:ascii="Calibri" w:cs="Calibri" w:eastAsia="Calibri" w:hAnsi="Calibri"/>
          <w:color w:val="5C6678"/>
          <w:sz w:val="21"/>
          <w:szCs w:val="21"/>
        </w:rPr>
        <w:t xml:space="preserve">At the patient ID vs. hospital number moment, use a deliberately simple analogy: "Think of the patient ID as LabOS's passport number for this person — it never changes. The hospital number is more like your own internal filing label."</w:t>
      </w:r>
    </w:p>
    <w:p>
      <w:pPr>
        <w:pStyle w:val="ListParagraph"/>
        <w:numPr>
          <w:ilvl w:val="0"/>
          <w:numId w:val="3"/>
        </w:numPr>
        <w:spacing w:after="90"/>
      </w:pPr>
      <w:r>
        <w:rPr>
          <w:rFonts w:ascii="Calibri" w:cs="Calibri" w:eastAsia="Calibri" w:hAnsi="Calibri"/>
          <w:color w:val="5C6678"/>
          <w:sz w:val="21"/>
          <w:szCs w:val="21"/>
        </w:rPr>
        <w:t xml:space="preserve">During the fuzzy search demo, narrate genuine surprise/delight on the typo match: "Notice I misspelled that name and it still found them — that's the fuzzy matching doing its job."</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5"/>
        </w:numPr>
        <w:spacing w:after="90"/>
      </w:pPr>
      <w:r>
        <w:rPr>
          <w:rFonts w:ascii="Calibri" w:cs="Calibri" w:eastAsia="Calibri" w:hAnsi="Calibri"/>
          <w:color w:val="5C6678"/>
          <w:sz w:val="21"/>
          <w:szCs w:val="21"/>
        </w:rPr>
        <w:t xml:space="preserve">Patients → + Register patient. Enter a fictional patient using full Surname-First-Middle convention.</w:t>
      </w:r>
    </w:p>
    <w:p>
      <w:pPr>
        <w:pStyle w:val="ListParagraph"/>
        <w:numPr>
          <w:ilvl w:val="0"/>
          <w:numId w:val="5"/>
        </w:numPr>
        <w:spacing w:after="90"/>
      </w:pPr>
      <w:r>
        <w:rPr>
          <w:rFonts w:ascii="Calibri" w:cs="Calibri" w:eastAsia="Calibri" w:hAnsi="Calibri"/>
          <w:color w:val="5C6678"/>
          <w:sz w:val="21"/>
          <w:szCs w:val="21"/>
        </w:rPr>
        <w:t xml:space="preserve">Enter date of birth, sex, and an international-format phone number, narrating each.</w:t>
      </w:r>
    </w:p>
    <w:p>
      <w:pPr>
        <w:pStyle w:val="ListParagraph"/>
        <w:numPr>
          <w:ilvl w:val="0"/>
          <w:numId w:val="5"/>
        </w:numPr>
        <w:spacing w:after="90"/>
      </w:pPr>
      <w:r>
        <w:rPr>
          <w:rFonts w:ascii="Calibri" w:cs="Calibri" w:eastAsia="Calibri" w:hAnsi="Calibri"/>
          <w:color w:val="5C6678"/>
          <w:sz w:val="21"/>
          <w:szCs w:val="21"/>
        </w:rPr>
        <w:t xml:space="preserve">Add at least three optional fields on screen: hospital number, NHIS policy number, blood group.</w:t>
      </w:r>
    </w:p>
    <w:p>
      <w:pPr>
        <w:pStyle w:val="ListParagraph"/>
        <w:numPr>
          <w:ilvl w:val="0"/>
          <w:numId w:val="5"/>
        </w:numPr>
        <w:spacing w:after="90"/>
      </w:pPr>
      <w:r>
        <w:rPr>
          <w:rFonts w:ascii="Calibri" w:cs="Calibri" w:eastAsia="Calibri" w:hAnsi="Calibri"/>
          <w:color w:val="5C6678"/>
          <w:sz w:val="21"/>
          <w:szCs w:val="21"/>
        </w:rPr>
        <w:t xml:space="preserve">Save the record, pause on the auto-generated PT-2026-NNNN ID, point it out explicitly.</w:t>
      </w:r>
    </w:p>
    <w:p>
      <w:pPr>
        <w:pStyle w:val="ListParagraph"/>
        <w:numPr>
          <w:ilvl w:val="0"/>
          <w:numId w:val="5"/>
        </w:numPr>
        <w:spacing w:after="90"/>
      </w:pPr>
      <w:r>
        <w:rPr>
          <w:rFonts w:ascii="Calibri" w:cs="Calibri" w:eastAsia="Calibri" w:hAnsi="Calibri"/>
          <w:color w:val="5C6678"/>
          <w:sz w:val="21"/>
          <w:szCs w:val="21"/>
        </w:rPr>
        <w:t xml:space="preserve">Open the Patients page search box. Search a deliberately misspelled version of the name, show the match.</w:t>
      </w:r>
    </w:p>
    <w:p>
      <w:pPr>
        <w:pStyle w:val="ListParagraph"/>
        <w:numPr>
          <w:ilvl w:val="0"/>
          <w:numId w:val="5"/>
        </w:numPr>
        <w:spacing w:after="90"/>
      </w:pPr>
      <w:r>
        <w:rPr>
          <w:rFonts w:ascii="Calibri" w:cs="Calibri" w:eastAsia="Calibri" w:hAnsi="Calibri"/>
          <w:color w:val="5C6678"/>
          <w:sz w:val="21"/>
          <w:szCs w:val="21"/>
        </w:rPr>
        <w:t xml:space="preserve">Search the same patient's phone number without the country code and with extra spaces, show the match.</w:t>
      </w:r>
    </w:p>
    <w:p>
      <w:pPr>
        <w:pStyle w:val="ListParagraph"/>
        <w:numPr>
          <w:ilvl w:val="0"/>
          <w:numId w:val="5"/>
        </w:numPr>
        <w:spacing w:after="90"/>
      </w:pPr>
      <w:r>
        <w:rPr>
          <w:rFonts w:ascii="Calibri" w:cs="Calibri" w:eastAsia="Calibri" w:hAnsi="Calibri"/>
          <w:color w:val="5C6678"/>
          <w:sz w:val="21"/>
          <w:szCs w:val="21"/>
        </w:rPr>
        <w:t xml:space="preserve">Navigate to a different page, press Ctrl+K, type the patient's name, show the result.</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Every required field unlocks something specific downstream — none of them are arbitrary.</w:t>
      </w:r>
    </w:p>
    <w:p>
      <w:pPr>
        <w:pStyle w:val="ListParagraph"/>
        <w:numPr>
          <w:ilvl w:val="0"/>
          <w:numId w:val="3"/>
        </w:numPr>
        <w:spacing w:after="90"/>
      </w:pPr>
      <w:r>
        <w:rPr>
          <w:rFonts w:ascii="Calibri" w:cs="Calibri" w:eastAsia="Calibri" w:hAnsi="Calibri"/>
          <w:color w:val="5C6678"/>
          <w:sz w:val="21"/>
          <w:szCs w:val="21"/>
        </w:rPr>
        <w:t xml:space="preserve">Optional fields are cheap now, expensive to chase down later — capture them at registration.</w:t>
      </w:r>
    </w:p>
    <w:p>
      <w:pPr>
        <w:pStyle w:val="ListParagraph"/>
        <w:numPr>
          <w:ilvl w:val="0"/>
          <w:numId w:val="3"/>
        </w:numPr>
        <w:spacing w:after="90"/>
      </w:pPr>
      <w:r>
        <w:rPr>
          <w:rFonts w:ascii="Calibri" w:cs="Calibri" w:eastAsia="Calibri" w:hAnsi="Calibri"/>
          <w:color w:val="5C6678"/>
          <w:sz w:val="21"/>
          <w:szCs w:val="21"/>
        </w:rPr>
        <w:t xml:space="preserve">Patient ID (auto-generated, fixed) ≠ hospital number (editable, internal).</w:t>
      </w:r>
    </w:p>
    <w:p>
      <w:pPr>
        <w:pStyle w:val="ListParagraph"/>
        <w:numPr>
          <w:ilvl w:val="0"/>
          <w:numId w:val="3"/>
        </w:numPr>
        <w:spacing w:after="90"/>
      </w:pPr>
      <w:r>
        <w:rPr>
          <w:rFonts w:ascii="Calibri" w:cs="Calibri" w:eastAsia="Calibri" w:hAnsi="Calibri"/>
          <w:color w:val="5C6678"/>
          <w:sz w:val="21"/>
          <w:szCs w:val="21"/>
        </w:rPr>
        <w:t xml:space="preserve">Search is fuzzy and phone-number-aware — search before you register a "new" patient.</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Simple on-screen callouts appearing next to each field as it's filled, naming what it unlocks (e.g., DOB → "drives age-specific reference ranges").</w:t>
      </w:r>
    </w:p>
    <w:p>
      <w:pPr>
        <w:pStyle w:val="ListParagraph"/>
        <w:numPr>
          <w:ilvl w:val="0"/>
          <w:numId w:val="3"/>
        </w:numPr>
        <w:spacing w:after="90"/>
      </w:pPr>
      <w:r>
        <w:rPr>
          <w:rFonts w:ascii="Calibri" w:cs="Calibri" w:eastAsia="Calibri" w:hAnsi="Calibri"/>
          <w:color w:val="5C6678"/>
          <w:sz w:val="21"/>
          <w:szCs w:val="21"/>
        </w:rPr>
        <w:t xml:space="preserve">Side-by-side graphic: "Patient ID — PT-2026-0482 (fixed)" next to "Hospital Number — VD-LAB-0119 (editable)".</w:t>
      </w:r>
    </w:p>
    <w:p>
      <w:pPr>
        <w:pStyle w:val="ListParagraph"/>
        <w:numPr>
          <w:ilvl w:val="0"/>
          <w:numId w:val="3"/>
        </w:numPr>
        <w:spacing w:after="90"/>
      </w:pPr>
      <w:r>
        <w:rPr>
          <w:rFonts w:ascii="Calibri" w:cs="Calibri" w:eastAsia="Calibri" w:hAnsi="Calibri"/>
          <w:color w:val="5C6678"/>
          <w:sz w:val="21"/>
          <w:szCs w:val="21"/>
        </w:rPr>
        <w:t xml:space="preserve">Split-screen during the fuzzy-search demo: the typo/format entered on one side, the correct match highlighted on the other.</w:t>
      </w:r>
    </w:p>
    <w:p>
      <w:r>
        <w:br w:type="page"/>
      </w:r>
    </w:p>
    <w:p>
      <w:pPr>
        <w:spacing w:after="60"/>
      </w:pPr>
      <w:r>
        <w:rPr>
          <w:rFonts w:ascii="Calibri" w:cs="Calibri" w:eastAsia="Calibri" w:hAnsi="Calibri"/>
          <w:b/>
          <w:bCs/>
          <w:color w:val="A8552E"/>
          <w:spacing w:val="14"/>
          <w:sz w:val="17"/>
          <w:szCs w:val="17"/>
        </w:rPr>
        <w:t xml:space="preserve">LESSON 2.2</w:t>
      </w:r>
    </w:p>
    <w:p>
      <w:pPr>
        <w:pStyle w:val="Heading1"/>
      </w:pPr>
      <w:r>
        <w:rPr>
          <w:rFonts w:ascii="Calibri" w:cs="Calibri" w:eastAsia="Calibri" w:hAnsi="Calibri"/>
        </w:rPr>
        <w:t xml:space="preserve">When Records Go Wrong: Duplicates and Corrections</w:t>
      </w:r>
    </w:p>
    <w:p>
      <w:pPr>
        <w:spacing w:after="200"/>
      </w:pPr>
      <w:r>
        <w:rPr>
          <w:rFonts w:ascii="Calibri" w:cs="Calibri" w:eastAsia="Calibri" w:hAnsi="Calibri"/>
          <w:color w:val="5C6678"/>
          <w:sz w:val="23"/>
          <w:szCs w:val="23"/>
        </w:rPr>
        <w:t xml:space="preserve">Even with disciplined registration habits, duplicate patient records happen. This lesson covers why they happen, how to fix them correctly without losing clinical history, and why that fix is deliberately restricted to a small number of roles.</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the controlled merge process LabOS provides for duplicate patient records — what causes duplicates in the first place, the exact steps to merge two records into one without losing data, and the permission model that restricts who can perform a merge. By the end, a learner should understand both the mechanics of merging and the reasoning behind why this single action is one of the few in LabOS limited to just two roles.</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duplicate patient record is not a cosmetic annoyance — it is a clinical safety risk disguised as an administrative inconvenience. If a patient's history is split across two records, a clinician reviewing "the" record sees an incomplete picture: perhaps a known allergy is on the duplicate, not the one being viewed; perhaps a critical result from eighteen months ago, relevant to a current diagnosis, is invisible because it lives under the other spelling of the patient's name. Merging exists to repair this — but a merge is also irreversible and touches every piece of data connected to a patient, which is precisely why LabOS treats it as a high-trust action rather than a routine one.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Common causes of duplicate patient records: spelling variants, missing middle names, transposed phone-number digits.</w:t>
      </w:r>
    </w:p>
    <w:p>
      <w:pPr>
        <w:pStyle w:val="ListParagraph"/>
        <w:numPr>
          <w:ilvl w:val="0"/>
          <w:numId w:val="3"/>
        </w:numPr>
        <w:spacing w:after="90"/>
      </w:pPr>
      <w:r>
        <w:rPr>
          <w:rFonts w:ascii="Calibri" w:cs="Calibri" w:eastAsia="Calibri" w:hAnsi="Calibri"/>
          <w:color w:val="5C6678"/>
          <w:sz w:val="21"/>
          <w:szCs w:val="21"/>
        </w:rPr>
        <w:t xml:space="preserve">The five-step merge workflow, including the side-by-side field diff.</w:t>
      </w:r>
    </w:p>
    <w:p>
      <w:pPr>
        <w:pStyle w:val="ListParagraph"/>
        <w:numPr>
          <w:ilvl w:val="0"/>
          <w:numId w:val="3"/>
        </w:numPr>
        <w:spacing w:after="90"/>
      </w:pPr>
      <w:r>
        <w:rPr>
          <w:rFonts w:ascii="Calibri" w:cs="Calibri" w:eastAsia="Calibri" w:hAnsi="Calibri"/>
          <w:color w:val="5C6678"/>
          <w:sz w:val="21"/>
          <w:szCs w:val="21"/>
        </w:rPr>
        <w:t xml:space="preserve">What a merge actually reassigns: requests, results, vitals, invoices, and audit log entries.</w:t>
      </w:r>
    </w:p>
    <w:p>
      <w:pPr>
        <w:pStyle w:val="ListParagraph"/>
        <w:numPr>
          <w:ilvl w:val="0"/>
          <w:numId w:val="3"/>
        </w:numPr>
        <w:spacing w:after="90"/>
      </w:pPr>
      <w:r>
        <w:rPr>
          <w:rFonts w:ascii="Calibri" w:cs="Calibri" w:eastAsia="Calibri" w:hAnsi="Calibri"/>
          <w:color w:val="5C6678"/>
          <w:sz w:val="21"/>
          <w:szCs w:val="21"/>
        </w:rPr>
        <w:t xml:space="preserve">The permission restriction: only TENANT_ADMIN and LAB_DIRECTOR roles can perform a merge.</w:t>
      </w:r>
    </w:p>
    <w:p>
      <w:pPr>
        <w:pStyle w:val="ListParagraph"/>
        <w:numPr>
          <w:ilvl w:val="0"/>
          <w:numId w:val="3"/>
        </w:numPr>
        <w:spacing w:after="90"/>
      </w:pPr>
      <w:r>
        <w:rPr>
          <w:rFonts w:ascii="Calibri" w:cs="Calibri" w:eastAsia="Calibri" w:hAnsi="Calibri"/>
          <w:color w:val="5C6678"/>
          <w:sz w:val="21"/>
          <w:szCs w:val="21"/>
        </w:rPr>
        <w:t xml:space="preserve">Why merges are permanent and how they appear in the audit log.</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Why duplicates happen even in a well-run laboratory</w:t>
      </w:r>
    </w:p>
    <w:p>
      <w:pPr>
        <w:spacing w:after="160"/>
      </w:pPr>
      <w:r>
        <w:rPr>
          <w:rFonts w:ascii="Calibri" w:cs="Calibri" w:eastAsia="Calibri" w:hAnsi="Calibri"/>
          <w:color w:val="5C6678"/>
          <w:sz w:val="21"/>
          <w:szCs w:val="21"/>
        </w:rPr>
        <w:t xml:space="preserve">Despite Lesson 2.1's best practices, duplicates still occur — a patient gives a slightly different spelling on a second visit, a middle name is omitted the first time but included the second, or a digit is transposed when a phone number is read aloud and typed quickly during a busy shift. None of these are unusual front-desk failures; they are the predictable result of human data entry at volume, which is exactly why LabOS provides a structured repair mechanism rather than expecting registration to be perfect every time.</w:t>
      </w:r>
    </w:p>
    <w:p>
      <w:pPr>
        <w:spacing w:after="100" w:before="220"/>
      </w:pPr>
      <w:r>
        <w:rPr>
          <w:rFonts w:ascii="Calibri" w:cs="Calibri" w:eastAsia="Calibri" w:hAnsi="Calibri"/>
          <w:b/>
          <w:bCs/>
          <w:color w:val="0E1F33"/>
          <w:sz w:val="20"/>
          <w:szCs w:val="20"/>
        </w:rPr>
        <w:t xml:space="preserve">Performing a merge correctly</w:t>
      </w:r>
    </w:p>
    <w:p>
      <w:pPr>
        <w:spacing w:after="160"/>
      </w:pPr>
      <w:r>
        <w:rPr>
          <w:rFonts w:ascii="Calibri" w:cs="Calibri" w:eastAsia="Calibri" w:hAnsi="Calibri"/>
          <w:color w:val="5C6678"/>
          <w:sz w:val="21"/>
          <w:szCs w:val="21"/>
        </w:rPr>
        <w:t xml:space="preserve">The merge workflow has five deliberate steps. First, open the record you intend to keep — the surviving record — not the duplicate. Second, from that surviving record, select Actions → Merge duplicate into this record. Third, search for and select the duplicate, by ID or name. Fourth — and this is the step that matters most — review the side-by-side field diff before confirming anything; this is where you decide which value wins for any field that differs between the two records (for example, if one record has a captured NHIS number and the other doesn't, you confirm the surviving record keeps it). Fifth, click Merge. At that point, every request, result, vital-signs entry, invoice, and audit log entry that belonged to the duplicate is reassigned to the surviving record — nothing is deleted, it is all consolidated under one identity.</w:t>
      </w:r>
    </w:p>
    <w:p>
      <w:pPr>
        <w:spacing w:after="100" w:before="220"/>
      </w:pPr>
      <w:r>
        <w:rPr>
          <w:rFonts w:ascii="Calibri" w:cs="Calibri" w:eastAsia="Calibri" w:hAnsi="Calibri"/>
          <w:b/>
          <w:bCs/>
          <w:color w:val="0E1F33"/>
          <w:sz w:val="20"/>
          <w:szCs w:val="20"/>
        </w:rPr>
        <w:t xml:space="preserve">Why merge is restricted to two roles</w:t>
      </w:r>
    </w:p>
    <w:p>
      <w:pPr>
        <w:spacing w:after="160"/>
      </w:pPr>
      <w:r>
        <w:rPr>
          <w:rFonts w:ascii="Calibri" w:cs="Calibri" w:eastAsia="Calibri" w:hAnsi="Calibri"/>
          <w:color w:val="5C6678"/>
          <w:sz w:val="21"/>
          <w:szCs w:val="21"/>
        </w:rPr>
        <w:t xml:space="preserve">Only TENANT_ADMIN and LAB_DIRECTOR roles can perform a merge. This is a deliberate, narrow restriction, consistent with the role-based access philosophy from Module 1: a merge is irreversible and touches potentially years of a patient's clinical and financial history in a single action. Restricting it to the two roles with the broadest organisational accountability — rather than, say, any front-desk officer who happens to spot a duplicate — ensures that an action with this much consequence always has a second, more senior set of eyes on the decision before it's executed.</w:t>
      </w:r>
    </w:p>
    <w:p>
      <w:pPr>
        <w:spacing w:after="100" w:before="220"/>
      </w:pPr>
      <w:r>
        <w:rPr>
          <w:rFonts w:ascii="Calibri" w:cs="Calibri" w:eastAsia="Calibri" w:hAnsi="Calibri"/>
          <w:b/>
          <w:bCs/>
          <w:color w:val="0E1F33"/>
          <w:sz w:val="20"/>
          <w:szCs w:val="20"/>
        </w:rPr>
        <w:t xml:space="preserve">Living with the permanence of a merge</w:t>
      </w:r>
    </w:p>
    <w:p>
      <w:pPr>
        <w:spacing w:after="160"/>
      </w:pPr>
      <w:r>
        <w:rPr>
          <w:rFonts w:ascii="Calibri" w:cs="Calibri" w:eastAsia="Calibri" w:hAnsi="Calibri"/>
          <w:color w:val="5C6678"/>
          <w:sz w:val="21"/>
          <w:szCs w:val="21"/>
        </w:rPr>
        <w:t xml:space="preserve">A completed merge is recorded in the audit log — who performed it, when, and which two records were involved — but it cannot be undone. This permanence is intentional, not a limitation the product simply hasn't solved yet: allowing merges to be reversed would reintroduce exactly the kind of ambiguous, split-history problem the merge was designed to fix, and would weaken the audit log's integrity as a reliable record of what actually happened to patient data over time.</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Always review the full side-by-side diff before confirming a merge — never click through it quickly, even when a merge seems obviously correct.</w:t>
      </w:r>
    </w:p>
    <w:p>
      <w:pPr>
        <w:pStyle w:val="ListParagraph"/>
        <w:numPr>
          <w:ilvl w:val="0"/>
          <w:numId w:val="3"/>
        </w:numPr>
        <w:spacing w:after="90"/>
      </w:pPr>
      <w:r>
        <w:rPr>
          <w:rFonts w:ascii="Calibri" w:cs="Calibri" w:eastAsia="Calibri" w:hAnsi="Calibri"/>
          <w:color w:val="5C6678"/>
          <w:sz w:val="21"/>
          <w:szCs w:val="21"/>
        </w:rPr>
        <w:t xml:space="preserve">When in doubt about which record should survive, prefer the one with more complete optional-field data (NHIS number, blood group, etc.) rather than simply the older or more recently created record.</w:t>
      </w:r>
    </w:p>
    <w:p>
      <w:pPr>
        <w:pStyle w:val="ListParagraph"/>
        <w:numPr>
          <w:ilvl w:val="0"/>
          <w:numId w:val="3"/>
        </w:numPr>
        <w:spacing w:after="90"/>
      </w:pPr>
      <w:r>
        <w:rPr>
          <w:rFonts w:ascii="Calibri" w:cs="Calibri" w:eastAsia="Calibri" w:hAnsi="Calibri"/>
          <w:color w:val="5C6678"/>
          <w:sz w:val="21"/>
          <w:szCs w:val="21"/>
        </w:rPr>
        <w:t xml:space="preserve">If you are a TENANT_ADMIN or LAB_DIRECTOR and notice a likely duplicate while reviewing a patient, address it promptly rather than leaving it for a future visit — the longer two records both accumulate data, the more there is to reconcile.</w:t>
      </w:r>
    </w:p>
    <w:p>
      <w:pPr>
        <w:pStyle w:val="ListParagraph"/>
        <w:numPr>
          <w:ilvl w:val="0"/>
          <w:numId w:val="3"/>
        </w:numPr>
        <w:spacing w:after="90"/>
      </w:pPr>
      <w:r>
        <w:rPr>
          <w:rFonts w:ascii="Calibri" w:cs="Calibri" w:eastAsia="Calibri" w:hAnsi="Calibri"/>
          <w:color w:val="5C6678"/>
          <w:sz w:val="21"/>
          <w:szCs w:val="21"/>
        </w:rPr>
        <w:t xml:space="preserve">Treat a merge request from front-desk or clinical staff as something to investigate personally, not rubber-stamp — your role exists precisely to apply judgment at this step.</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Confirming a merge without carefully reviewing the field diff, resulting in a correct field on the duplicate being silently overwritten by a blank or incorrect field on the surviving record.</w:t>
      </w:r>
    </w:p>
    <w:p>
      <w:pPr>
        <w:pStyle w:val="ListParagraph"/>
        <w:numPr>
          <w:ilvl w:val="0"/>
          <w:numId w:val="3"/>
        </w:numPr>
        <w:spacing w:after="90"/>
      </w:pPr>
      <w:r>
        <w:rPr>
          <w:rFonts w:ascii="Calibri" w:cs="Calibri" w:eastAsia="Calibri" w:hAnsi="Calibri"/>
          <w:color w:val="5C6678"/>
          <w:sz w:val="21"/>
          <w:szCs w:val="21"/>
        </w:rPr>
        <w:t xml:space="preserve">Choosing the wrong record to keep as the "surviving" record — for example, keeping the newer, less complete record purely because it was opened first.</w:t>
      </w:r>
    </w:p>
    <w:p>
      <w:pPr>
        <w:pStyle w:val="ListParagraph"/>
        <w:numPr>
          <w:ilvl w:val="0"/>
          <w:numId w:val="3"/>
        </w:numPr>
        <w:spacing w:after="90"/>
      </w:pPr>
      <w:r>
        <w:rPr>
          <w:rFonts w:ascii="Calibri" w:cs="Calibri" w:eastAsia="Calibri" w:hAnsi="Calibri"/>
          <w:color w:val="5C6678"/>
          <w:sz w:val="21"/>
          <w:szCs w:val="21"/>
        </w:rPr>
        <w:t xml:space="preserve">Non-admin staff assuming they can perform a merge themselves and being confused when the option isn't available — rather than understanding this is permission-by-design, not a bug.</w:t>
      </w:r>
    </w:p>
    <w:p>
      <w:pPr>
        <w:pStyle w:val="ListParagraph"/>
        <w:numPr>
          <w:ilvl w:val="0"/>
          <w:numId w:val="3"/>
        </w:numPr>
        <w:spacing w:after="90"/>
      </w:pPr>
      <w:r>
        <w:rPr>
          <w:rFonts w:ascii="Calibri" w:cs="Calibri" w:eastAsia="Calibri" w:hAnsi="Calibri"/>
          <w:color w:val="5C6678"/>
          <w:sz w:val="21"/>
          <w:szCs w:val="21"/>
        </w:rPr>
        <w:t xml:space="preserve">Delaying a known duplicate merge for weeks, allowing both records to accumulate further requests and results that then have to be reconciled in the diff.</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2.2 — CREATE AND RESOLVE A DUPLICATE</w:t>
            </w:r>
          </w:p>
          <w:p>
            <w:r>
              <w:rPr>
                <w:rFonts w:ascii="Calibri" w:cs="Calibri" w:eastAsia="Calibri" w:hAnsi="Calibri"/>
                <w:i/>
                <w:iCs/>
                <w:color w:val="0E1F33"/>
                <w:sz w:val="21"/>
                <w:szCs w:val="21"/>
              </w:rPr>
              <w:t xml:space="preserve">In a sandbox LabOS environment, deliberately create a duplicate patient: register the same fictional patient twice, using a slightly different name spelling the second time and omitting one optional field you included the first time. Using a TENANT_ADMIN or LAB_DIRECTOR sandbox account, perform a merge — choose which record should survive, carefully review the field diff, and confirm which value wins for the field that differs between the two records. After merging, verify in the audit log that the merge is recorded with your username and a timestamp, and confirm it cannot be reversed from the interface.</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A merge has just consolidated a duplicate into a surviving patient record. What happens to the requests, results, and invoices that were attached to the duplicate?</w:t>
      </w:r>
    </w:p>
    <w:p>
      <w:pPr>
        <w:spacing w:after="60"/>
      </w:pPr>
      <w:r>
        <w:rPr>
          <w:rFonts w:ascii="Calibri" w:cs="Calibri" w:eastAsia="Calibri" w:hAnsi="Calibri"/>
          <w:color w:val="5C6678"/>
          <w:sz w:val="20"/>
          <w:szCs w:val="20"/>
        </w:rPr>
        <w:t xml:space="preserve">They are reassigned to the surviving record, not deleted — every request, result, vital-signs entry, invoice, and audit log entry from the duplicate becomes part of the surviving patient's history.</w:t>
      </w:r>
    </w:p>
    <w:p>
      <w:pPr>
        <w:spacing w:after="50" w:before="140"/>
      </w:pPr>
      <w:r>
        <w:rPr>
          <w:rFonts w:ascii="Calibri" w:cs="Calibri" w:eastAsia="Calibri" w:hAnsi="Calibri"/>
          <w:b/>
          <w:bCs/>
          <w:color w:val="0E1F33"/>
          <w:sz w:val="21"/>
          <w:szCs w:val="21"/>
        </w:rPr>
        <w:t xml:space="preserve">2. A medical laboratory scientist notices what looks like a duplicate patient and wants to fix it immediately. What should actually happen?</w:t>
      </w:r>
    </w:p>
    <w:p>
      <w:pPr>
        <w:spacing w:after="60"/>
      </w:pPr>
      <w:r>
        <w:rPr>
          <w:rFonts w:ascii="Calibri" w:cs="Calibri" w:eastAsia="Calibri" w:hAnsi="Calibri"/>
          <w:color w:val="5C6678"/>
          <w:sz w:val="20"/>
          <w:szCs w:val="20"/>
        </w:rPr>
        <w:t xml:space="preserve">The scientist should flag it to a TENANT_ADMIN or LAB_DIRECTOR rather than attempting the merge themselves — merge permission is intentionally restricted to those two roles, and the option will not be available to a MED_LAB_SCIENTIST account.</w:t>
      </w:r>
    </w:p>
    <w:p>
      <w:pPr>
        <w:spacing w:after="50" w:before="140"/>
      </w:pPr>
      <w:r>
        <w:rPr>
          <w:rFonts w:ascii="Calibri" w:cs="Calibri" w:eastAsia="Calibri" w:hAnsi="Calibri"/>
          <w:b/>
          <w:bCs/>
          <w:color w:val="0E1F33"/>
          <w:sz w:val="21"/>
          <w:szCs w:val="21"/>
        </w:rPr>
        <w:t xml:space="preserve">3. Why does LabOS not allow a merge to be undone, even though mistakes are possible during the field-diff review?</w:t>
      </w:r>
    </w:p>
    <w:p>
      <w:pPr>
        <w:spacing w:after="60"/>
      </w:pPr>
      <w:r>
        <w:rPr>
          <w:rFonts w:ascii="Calibri" w:cs="Calibri" w:eastAsia="Calibri" w:hAnsi="Calibri"/>
          <w:color w:val="5C6678"/>
          <w:sz w:val="20"/>
          <w:szCs w:val="20"/>
        </w:rPr>
        <w:t xml:space="preserve">Because allowing reversal would reintroduce the same kind of ambiguous, split-history problem merging is meant to solve, and would weaken the audit log's reliability as a permanent record — which is why the field-diff review step exists to get the decision right before confirming, rather than relying on being able to undo it afterward.</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2.2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"When Records Go Wrong: Duplicates and Corrections" — CLA Module 2, Lesson 2</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correctly perform a patient merge, explain the role restriction, and understand why the action is permanent.</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7–8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logged in as a LAB_DIRECTOR-level sandbox account throughout</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6"/>
        </w:numPr>
        <w:spacing w:after="90"/>
      </w:pPr>
      <w:r>
        <w:rPr>
          <w:rFonts w:ascii="Calibri" w:cs="Calibri" w:eastAsia="Calibri" w:hAnsi="Calibri"/>
          <w:color w:val="5C6678"/>
          <w:sz w:val="21"/>
          <w:szCs w:val="21"/>
        </w:rPr>
        <w:t xml:space="preserve">Cold open (0:00–0:35) — "Two records, one real person — here's why that's more than just untidy."</w:t>
      </w:r>
    </w:p>
    <w:p>
      <w:pPr>
        <w:pStyle w:val="ListParagraph"/>
        <w:numPr>
          <w:ilvl w:val="0"/>
          <w:numId w:val="6"/>
        </w:numPr>
        <w:spacing w:after="90"/>
      </w:pPr>
      <w:r>
        <w:rPr>
          <w:rFonts w:ascii="Calibri" w:cs="Calibri" w:eastAsia="Calibri" w:hAnsi="Calibri"/>
          <w:color w:val="5C6678"/>
          <w:sz w:val="21"/>
          <w:szCs w:val="21"/>
        </w:rPr>
        <w:t xml:space="preserve">Why duplicates happen — quick, relatable examples (0:35–1:30).</w:t>
      </w:r>
    </w:p>
    <w:p>
      <w:pPr>
        <w:pStyle w:val="ListParagraph"/>
        <w:numPr>
          <w:ilvl w:val="0"/>
          <w:numId w:val="6"/>
        </w:numPr>
        <w:spacing w:after="90"/>
      </w:pPr>
      <w:r>
        <w:rPr>
          <w:rFonts w:ascii="Calibri" w:cs="Calibri" w:eastAsia="Calibri" w:hAnsi="Calibri"/>
          <w:color w:val="5C6678"/>
          <w:sz w:val="21"/>
          <w:szCs w:val="21"/>
        </w:rPr>
        <w:t xml:space="preserve">Live merge demo, all five steps, narrated in full (1:30–5:00).</w:t>
      </w:r>
    </w:p>
    <w:p>
      <w:pPr>
        <w:pStyle w:val="ListParagraph"/>
        <w:numPr>
          <w:ilvl w:val="0"/>
          <w:numId w:val="6"/>
        </w:numPr>
        <w:spacing w:after="90"/>
      </w:pPr>
      <w:r>
        <w:rPr>
          <w:rFonts w:ascii="Calibri" w:cs="Calibri" w:eastAsia="Calibri" w:hAnsi="Calibri"/>
          <w:color w:val="5C6678"/>
          <w:sz w:val="21"/>
          <w:szCs w:val="21"/>
        </w:rPr>
        <w:t xml:space="preserve">Why only TENANT_ADMIN / LAB_DIRECTOR can do this — direct to camera (5:00–6:00).</w:t>
      </w:r>
    </w:p>
    <w:p>
      <w:pPr>
        <w:pStyle w:val="ListParagraph"/>
        <w:numPr>
          <w:ilvl w:val="0"/>
          <w:numId w:val="6"/>
        </w:numPr>
        <w:spacing w:after="90"/>
      </w:pPr>
      <w:r>
        <w:rPr>
          <w:rFonts w:ascii="Calibri" w:cs="Calibri" w:eastAsia="Calibri" w:hAnsi="Calibri"/>
          <w:color w:val="5C6678"/>
          <w:sz w:val="21"/>
          <w:szCs w:val="21"/>
        </w:rPr>
        <w:t xml:space="preserve">Audit log confirmation of the completed merge (6:00–7:00).</w:t>
      </w:r>
    </w:p>
    <w:p>
      <w:pPr>
        <w:pStyle w:val="ListParagraph"/>
        <w:numPr>
          <w:ilvl w:val="0"/>
          <w:numId w:val="6"/>
        </w:numPr>
        <w:spacing w:after="90"/>
      </w:pPr>
      <w:r>
        <w:rPr>
          <w:rFonts w:ascii="Calibri" w:cs="Calibri" w:eastAsia="Calibri" w:hAnsi="Calibri"/>
          <w:color w:val="5C6678"/>
          <w:sz w:val="21"/>
          <w:szCs w:val="21"/>
        </w:rPr>
        <w:t xml:space="preserve">Close + transition to Lesson 2.3 (7:00–end).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Open with a concrete, slightly uncomfortable example: "Imagine a critical allergy result is sitting on the record nobody's looking at right now." Make the stakes specific, not abstract.</w:t>
      </w:r>
    </w:p>
    <w:p>
      <w:pPr>
        <w:pStyle w:val="ListParagraph"/>
        <w:numPr>
          <w:ilvl w:val="0"/>
          <w:numId w:val="3"/>
        </w:numPr>
        <w:spacing w:after="90"/>
      </w:pPr>
      <w:r>
        <w:rPr>
          <w:rFonts w:ascii="Calibri" w:cs="Calibri" w:eastAsia="Calibri" w:hAnsi="Calibri"/>
          <w:color w:val="5C6678"/>
          <w:sz w:val="21"/>
          <w:szCs w:val="21"/>
        </w:rPr>
        <w:t xml:space="preserve">During the field-diff step, slow down deliberately: "This is the step people are tempted to rush — don't. This is the only checkpoint before this becomes permanent."</w:t>
      </w:r>
    </w:p>
    <w:p>
      <w:pPr>
        <w:pStyle w:val="ListParagraph"/>
        <w:numPr>
          <w:ilvl w:val="0"/>
          <w:numId w:val="3"/>
        </w:numPr>
        <w:spacing w:after="90"/>
      </w:pPr>
      <w:r>
        <w:rPr>
          <w:rFonts w:ascii="Calibri" w:cs="Calibri" w:eastAsia="Calibri" w:hAnsi="Calibri"/>
          <w:color w:val="5C6678"/>
          <w:sz w:val="21"/>
          <w:szCs w:val="21"/>
        </w:rPr>
        <w:t xml:space="preserve">When explaining the role restriction, frame it positively rather than as a limitation: "This isn't about not trusting front-desk staff — it's about making sure a senior, accountable person makes the final call on an irreversible action."</w:t>
      </w:r>
    </w:p>
    <w:p>
      <w:pPr>
        <w:pStyle w:val="ListParagraph"/>
        <w:numPr>
          <w:ilvl w:val="0"/>
          <w:numId w:val="3"/>
        </w:numPr>
        <w:spacing w:after="90"/>
      </w:pPr>
      <w:r>
        <w:rPr>
          <w:rFonts w:ascii="Calibri" w:cs="Calibri" w:eastAsia="Calibri" w:hAnsi="Calibri"/>
          <w:color w:val="5C6678"/>
          <w:sz w:val="21"/>
          <w:szCs w:val="21"/>
        </w:rPr>
        <w:t xml:space="preserve">At the audit log step, explicitly connect back to Module 1: "Remember the audit trail we talked about in Module 1? This is exactly the kind of action it exists to capture."</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7"/>
        </w:numPr>
        <w:spacing w:after="90"/>
      </w:pPr>
      <w:r>
        <w:rPr>
          <w:rFonts w:ascii="Calibri" w:cs="Calibri" w:eastAsia="Calibri" w:hAnsi="Calibri"/>
          <w:color w:val="5C6678"/>
          <w:sz w:val="21"/>
          <w:szCs w:val="21"/>
        </w:rPr>
        <w:t xml:space="preserve">Show two clearly duplicate sandbox patient records side by side before starting (e.g., "Adeyemi James Olu" and "Adeyemi James O.").</w:t>
      </w:r>
    </w:p>
    <w:p>
      <w:pPr>
        <w:pStyle w:val="ListParagraph"/>
        <w:numPr>
          <w:ilvl w:val="0"/>
          <w:numId w:val="7"/>
        </w:numPr>
        <w:spacing w:after="90"/>
      </w:pPr>
      <w:r>
        <w:rPr>
          <w:rFonts w:ascii="Calibri" w:cs="Calibri" w:eastAsia="Calibri" w:hAnsi="Calibri"/>
          <w:color w:val="5C6678"/>
          <w:sz w:val="21"/>
          <w:szCs w:val="21"/>
        </w:rPr>
        <w:t xml:space="preserve">Open the record to be kept (the surviving record).</w:t>
      </w:r>
    </w:p>
    <w:p>
      <w:pPr>
        <w:pStyle w:val="ListParagraph"/>
        <w:numPr>
          <w:ilvl w:val="0"/>
          <w:numId w:val="7"/>
        </w:numPr>
        <w:spacing w:after="90"/>
      </w:pPr>
      <w:r>
        <w:rPr>
          <w:rFonts w:ascii="Calibri" w:cs="Calibri" w:eastAsia="Calibri" w:hAnsi="Calibri"/>
          <w:color w:val="5C6678"/>
          <w:sz w:val="21"/>
          <w:szCs w:val="21"/>
        </w:rPr>
        <w:t xml:space="preserve">Click Actions → Merge duplicate into this record.</w:t>
      </w:r>
    </w:p>
    <w:p>
      <w:pPr>
        <w:pStyle w:val="ListParagraph"/>
        <w:numPr>
          <w:ilvl w:val="0"/>
          <w:numId w:val="7"/>
        </w:numPr>
        <w:spacing w:after="90"/>
      </w:pPr>
      <w:r>
        <w:rPr>
          <w:rFonts w:ascii="Calibri" w:cs="Calibri" w:eastAsia="Calibri" w:hAnsi="Calibri"/>
          <w:color w:val="5C6678"/>
          <w:sz w:val="21"/>
          <w:szCs w:val="21"/>
        </w:rPr>
        <w:t xml:space="preserve">Search for and select the duplicate by name.</w:t>
      </w:r>
    </w:p>
    <w:p>
      <w:pPr>
        <w:pStyle w:val="ListParagraph"/>
        <w:numPr>
          <w:ilvl w:val="0"/>
          <w:numId w:val="7"/>
        </w:numPr>
        <w:spacing w:after="90"/>
      </w:pPr>
      <w:r>
        <w:rPr>
          <w:rFonts w:ascii="Calibri" w:cs="Calibri" w:eastAsia="Calibri" w:hAnsi="Calibri"/>
          <w:color w:val="5C6678"/>
          <w:sz w:val="21"/>
          <w:szCs w:val="21"/>
        </w:rPr>
        <w:t xml:space="preserve">Pause on the side-by-side field diff, narrate choosing a value for at least one differing field.</w:t>
      </w:r>
    </w:p>
    <w:p>
      <w:pPr>
        <w:pStyle w:val="ListParagraph"/>
        <w:numPr>
          <w:ilvl w:val="0"/>
          <w:numId w:val="7"/>
        </w:numPr>
        <w:spacing w:after="90"/>
      </w:pPr>
      <w:r>
        <w:rPr>
          <w:rFonts w:ascii="Calibri" w:cs="Calibri" w:eastAsia="Calibri" w:hAnsi="Calibri"/>
          <w:color w:val="5C6678"/>
          <w:sz w:val="21"/>
          <w:szCs w:val="21"/>
        </w:rPr>
        <w:t xml:space="preserve">Click Merge, show the confirmation.</w:t>
      </w:r>
    </w:p>
    <w:p>
      <w:pPr>
        <w:pStyle w:val="ListParagraph"/>
        <w:numPr>
          <w:ilvl w:val="0"/>
          <w:numId w:val="7"/>
        </w:numPr>
        <w:spacing w:after="90"/>
      </w:pPr>
      <w:r>
        <w:rPr>
          <w:rFonts w:ascii="Calibri" w:cs="Calibri" w:eastAsia="Calibri" w:hAnsi="Calibri"/>
          <w:color w:val="5C6678"/>
          <w:sz w:val="21"/>
          <w:szCs w:val="21"/>
        </w:rPr>
        <w:t xml:space="preserve">Open the merged record, show requests/results/invoices now consolidated under it.</w:t>
      </w:r>
    </w:p>
    <w:p>
      <w:pPr>
        <w:pStyle w:val="ListParagraph"/>
        <w:numPr>
          <w:ilvl w:val="0"/>
          <w:numId w:val="7"/>
        </w:numPr>
        <w:spacing w:after="90"/>
      </w:pPr>
      <w:r>
        <w:rPr>
          <w:rFonts w:ascii="Calibri" w:cs="Calibri" w:eastAsia="Calibri" w:hAnsi="Calibri"/>
          <w:color w:val="5C6678"/>
          <w:sz w:val="21"/>
          <w:szCs w:val="21"/>
        </w:rPr>
        <w:t xml:space="preserve">Open the audit log, locate and highlight the merge entry with username and timestamp.</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Duplicates happen even with good habits — spelling variants, missing names, transposed digits.</w:t>
      </w:r>
    </w:p>
    <w:p>
      <w:pPr>
        <w:pStyle w:val="ListParagraph"/>
        <w:numPr>
          <w:ilvl w:val="0"/>
          <w:numId w:val="3"/>
        </w:numPr>
        <w:spacing w:after="90"/>
      </w:pPr>
      <w:r>
        <w:rPr>
          <w:rFonts w:ascii="Calibri" w:cs="Calibri" w:eastAsia="Calibri" w:hAnsi="Calibri"/>
          <w:color w:val="5C6678"/>
          <w:sz w:val="21"/>
          <w:szCs w:val="21"/>
        </w:rPr>
        <w:t xml:space="preserve">Merge has five steps; the field-diff review is the one that matters most.</w:t>
      </w:r>
    </w:p>
    <w:p>
      <w:pPr>
        <w:pStyle w:val="ListParagraph"/>
        <w:numPr>
          <w:ilvl w:val="0"/>
          <w:numId w:val="3"/>
        </w:numPr>
        <w:spacing w:after="90"/>
      </w:pPr>
      <w:r>
        <w:rPr>
          <w:rFonts w:ascii="Calibri" w:cs="Calibri" w:eastAsia="Calibri" w:hAnsi="Calibri"/>
          <w:color w:val="5C6678"/>
          <w:sz w:val="21"/>
          <w:szCs w:val="21"/>
        </w:rPr>
        <w:t xml:space="preserve">Only TENANT_ADMIN and LAB_DIRECTOR can merge — by design, not by accident.</w:t>
      </w:r>
    </w:p>
    <w:p>
      <w:pPr>
        <w:pStyle w:val="ListParagraph"/>
        <w:numPr>
          <w:ilvl w:val="0"/>
          <w:numId w:val="3"/>
        </w:numPr>
        <w:spacing w:after="90"/>
      </w:pPr>
      <w:r>
        <w:rPr>
          <w:rFonts w:ascii="Calibri" w:cs="Calibri" w:eastAsia="Calibri" w:hAnsi="Calibri"/>
          <w:color w:val="5C6678"/>
          <w:sz w:val="21"/>
          <w:szCs w:val="21"/>
        </w:rPr>
        <w:t xml:space="preserve">A merge is permanent and fully audit-logged — get the diff right the first time.</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Before/after graphic: two fragmented record icons merging into one complete record icon.</w:t>
      </w:r>
    </w:p>
    <w:p>
      <w:pPr>
        <w:pStyle w:val="ListParagraph"/>
        <w:numPr>
          <w:ilvl w:val="0"/>
          <w:numId w:val="3"/>
        </w:numPr>
        <w:spacing w:after="90"/>
      </w:pPr>
      <w:r>
        <w:rPr>
          <w:rFonts w:ascii="Calibri" w:cs="Calibri" w:eastAsia="Calibri" w:hAnsi="Calibri"/>
          <w:color w:val="5C6678"/>
          <w:sz w:val="21"/>
          <w:szCs w:val="21"/>
        </w:rPr>
        <w:t xml:space="preserve">On-screen highlight box around the field-diff table during that step, with a brief pause/zoom for emphasis.</w:t>
      </w:r>
    </w:p>
    <w:p>
      <w:pPr>
        <w:pStyle w:val="ListParagraph"/>
        <w:numPr>
          <w:ilvl w:val="0"/>
          <w:numId w:val="3"/>
        </w:numPr>
        <w:spacing w:after="90"/>
      </w:pPr>
      <w:r>
        <w:rPr>
          <w:rFonts w:ascii="Calibri" w:cs="Calibri" w:eastAsia="Calibri" w:hAnsi="Calibri"/>
          <w:color w:val="5C6678"/>
          <w:sz w:val="21"/>
          <w:szCs w:val="21"/>
        </w:rPr>
        <w:t xml:space="preserve">Small role-badge icons (TENANT_ADMIN, LAB_DIRECTOR) shown next to the Merge button to reinforce the permission visually.</w:t>
      </w:r>
    </w:p>
    <w:p>
      <w:r>
        <w:br w:type="page"/>
      </w:r>
    </w:p>
    <w:p>
      <w:pPr>
        <w:spacing w:after="60"/>
      </w:pPr>
      <w:r>
        <w:rPr>
          <w:rFonts w:ascii="Calibri" w:cs="Calibri" w:eastAsia="Calibri" w:hAnsi="Calibri"/>
          <w:b/>
          <w:bCs/>
          <w:color w:val="A8552E"/>
          <w:spacing w:val="14"/>
          <w:sz w:val="17"/>
          <w:szCs w:val="17"/>
        </w:rPr>
        <w:t xml:space="preserve">LESSON 2.3</w:t>
      </w:r>
    </w:p>
    <w:p>
      <w:pPr>
        <w:pStyle w:val="Heading1"/>
      </w:pPr>
      <w:r>
        <w:rPr>
          <w:rFonts w:ascii="Calibri" w:cs="Calibri" w:eastAsia="Calibri" w:hAnsi="Calibri"/>
        </w:rPr>
        <w:t xml:space="preserve">Clinical Context: Tags, Vitals, and Who's Allowed to See What</w:t>
      </w:r>
    </w:p>
    <w:p>
      <w:pPr>
        <w:spacing w:after="200"/>
      </w:pPr>
      <w:r>
        <w:rPr>
          <w:rFonts w:ascii="Calibri" w:cs="Calibri" w:eastAsia="Calibri" w:hAnsi="Calibri"/>
          <w:color w:val="5C6678"/>
          <w:sz w:val="23"/>
          <w:szCs w:val="23"/>
        </w:rPr>
        <w:t xml:space="preserve">A patient record is more than biodata. This lesson covers the three ways a record carries real clinical weight — chronic-disease tags, vital signs with automatic critical-value detection, and a role-based privacy model for sensitive results.</w:t>
      </w:r>
    </w:p>
    <w:p>
      <w:pPr>
        <w:pStyle w:val="Heading2"/>
      </w:pPr>
      <w:r>
        <w:rPr>
          <w:rFonts w:ascii="Calibri" w:cs="Calibri" w:eastAsia="Calibri" w:hAnsi="Calibri"/>
        </w:rPr>
        <w:t xml:space="preserve">Overview</w:t>
      </w:r>
    </w:p>
    <w:p>
      <w:pPr>
        <w:spacing w:after="160"/>
      </w:pPr>
      <w:r>
        <w:rPr>
          <w:rFonts w:ascii="Calibri" w:cs="Calibri" w:eastAsia="Calibri" w:hAnsi="Calibri"/>
          <w:color w:val="5C6678"/>
          <w:sz w:val="21"/>
          <w:szCs w:val="21"/>
        </w:rPr>
        <w:t xml:space="preserve">This lesson covers three connected topics: how chronic-disease tags (including the renal tag specifically) change what a patient record does, how vital signs are captured and what triggers an automatic critical alert, and exactly who is permitted to see a patient's most sensitive results. By the end, a learner should understand that a patient record isn't a static file — it's an active part of the clinical workflow, capable of routing a patient into specialty care and protecting their most sensitive information simultaneously.</w:t>
      </w:r>
    </w:p>
    <w:p>
      <w:pPr>
        <w:pStyle w:val="Heading2"/>
      </w:pPr>
      <w:r>
        <w:rPr>
          <w:rFonts w:ascii="Calibri" w:cs="Calibri" w:eastAsia="Calibri" w:hAnsi="Calibri"/>
        </w:rPr>
        <w:t xml:space="preserve">Business Context</w:t>
      </w:r>
    </w:p>
    <w:p>
      <w:pPr>
        <w:spacing w:after="160"/>
      </w:pPr>
      <w:r>
        <w:rPr>
          <w:rFonts w:ascii="Calibri" w:cs="Calibri" w:eastAsia="Calibri" w:hAnsi="Calibri"/>
          <w:color w:val="5C6678"/>
          <w:sz w:val="21"/>
          <w:szCs w:val="21"/>
        </w:rPr>
        <w:t xml:space="preserve">A patient record that only stores biodata is a filing cabinet. A patient record that can flag a dangerous vital sign the moment it's entered, route a chronic kidney disease patient automatically into specialty renal care, and restrict an HIV result to only the clinicians who need to see it — that's a system actively participating in patient safety and confidentiality, not just storing data about it. This lesson is where the patient record stops being "the form you fill in at the start" and becomes visibly connected to the rest of the clinical workflow you'll study in later modules, particularly the Renal &amp; Dialysis specialty module and the Compliance &amp; Security module.</w:t>
      </w:r>
    </w:p>
    <w:p>
      <w:pPr>
        <w:pStyle w:val="Heading2"/>
      </w:pPr>
      <w:r>
        <w:rPr>
          <w:rFonts w:ascii="Calibri" w:cs="Calibri" w:eastAsia="Calibri" w:hAnsi="Calibri"/>
        </w:rPr>
        <w:t xml:space="preserve">LabOS Functionality Covered</w:t>
      </w:r>
    </w:p>
    <w:p>
      <w:pPr>
        <w:pStyle w:val="ListParagraph"/>
        <w:numPr>
          <w:ilvl w:val="0"/>
          <w:numId w:val="3"/>
        </w:numPr>
        <w:spacing w:after="90"/>
      </w:pPr>
      <w:r>
        <w:rPr>
          <w:rFonts w:ascii="Calibri" w:cs="Calibri" w:eastAsia="Calibri" w:hAnsi="Calibri"/>
          <w:color w:val="5C6678"/>
          <w:sz w:val="21"/>
          <w:szCs w:val="21"/>
        </w:rPr>
        <w:t xml:space="preserve">Chronic-disease tagging (CKD, diabetes, hypertension, sickle cell disease, HIV-positive on ART) and its effect on Dashboard widgets and scheduling reminders.</w:t>
      </w:r>
    </w:p>
    <w:p>
      <w:pPr>
        <w:pStyle w:val="ListParagraph"/>
        <w:numPr>
          <w:ilvl w:val="0"/>
          <w:numId w:val="3"/>
        </w:numPr>
        <w:spacing w:after="90"/>
      </w:pPr>
      <w:r>
        <w:rPr>
          <w:rFonts w:ascii="Calibri" w:cs="Calibri" w:eastAsia="Calibri" w:hAnsi="Calibri"/>
          <w:color w:val="5C6678"/>
          <w:sz w:val="21"/>
          <w:szCs w:val="21"/>
        </w:rPr>
        <w:t xml:space="preserve">The renal tag specifically, and how it routes a patient into the Renal &amp; Dialysis module.</w:t>
      </w:r>
    </w:p>
    <w:p>
      <w:pPr>
        <w:pStyle w:val="ListParagraph"/>
        <w:numPr>
          <w:ilvl w:val="0"/>
          <w:numId w:val="3"/>
        </w:numPr>
        <w:spacing w:after="90"/>
      </w:pPr>
      <w:r>
        <w:rPr>
          <w:rFonts w:ascii="Calibri" w:cs="Calibri" w:eastAsia="Calibri" w:hAnsi="Calibri"/>
          <w:color w:val="5C6678"/>
          <w:sz w:val="21"/>
          <w:szCs w:val="21"/>
        </w:rPr>
        <w:t xml:space="preserve">The Capture vitals modal: systolic/diastolic BP, heart rate, temperature, SpO₂, respiratory rate, weight, height, auto-computed BMI, and pain score.</w:t>
      </w:r>
    </w:p>
    <w:p>
      <w:pPr>
        <w:pStyle w:val="ListParagraph"/>
        <w:numPr>
          <w:ilvl w:val="0"/>
          <w:numId w:val="3"/>
        </w:numPr>
        <w:spacing w:after="90"/>
      </w:pPr>
      <w:r>
        <w:rPr>
          <w:rFonts w:ascii="Calibri" w:cs="Calibri" w:eastAsia="Calibri" w:hAnsi="Calibri"/>
          <w:color w:val="5C6678"/>
          <w:sz w:val="21"/>
          <w:szCs w:val="21"/>
        </w:rPr>
        <w:t xml:space="preserve">Automatic critical-vital thresholds and the resulting on-call clinician alert.</w:t>
      </w:r>
    </w:p>
    <w:p>
      <w:pPr>
        <w:pStyle w:val="ListParagraph"/>
        <w:numPr>
          <w:ilvl w:val="0"/>
          <w:numId w:val="3"/>
        </w:numPr>
        <w:spacing w:after="90"/>
      </w:pPr>
      <w:r>
        <w:rPr>
          <w:rFonts w:ascii="Calibri" w:cs="Calibri" w:eastAsia="Calibri" w:hAnsi="Calibri"/>
          <w:color w:val="5C6678"/>
          <w:sz w:val="21"/>
          <w:szCs w:val="21"/>
        </w:rPr>
        <w:t xml:space="preserve">Role-based access to sensitive fields: HIV results, mental health, STI/confidential panels, paternity results.</w:t>
      </w:r>
    </w:p>
    <w:p>
      <w:pPr>
        <w:pStyle w:val="ListParagraph"/>
        <w:numPr>
          <w:ilvl w:val="0"/>
          <w:numId w:val="3"/>
        </w:numPr>
        <w:spacing w:after="90"/>
      </w:pPr>
      <w:r>
        <w:rPr>
          <w:rFonts w:ascii="Calibri" w:cs="Calibri" w:eastAsia="Calibri" w:hAnsi="Calibri"/>
          <w:color w:val="5C6678"/>
          <w:sz w:val="21"/>
          <w:szCs w:val="21"/>
        </w:rPr>
        <w:t xml:space="preserve">The hash-chained audit log for sensitive-field access.</w:t>
      </w:r>
    </w:p>
    <w:p>
      <w:pPr>
        <w:pStyle w:val="Heading2"/>
      </w:pPr>
      <w:r>
        <w:rPr>
          <w:rFonts w:ascii="Calibri" w:cs="Calibri" w:eastAsia="Calibri" w:hAnsi="Calibri"/>
        </w:rPr>
        <w:t xml:space="preserve">Step-by-Step Explanation</w:t>
      </w:r>
    </w:p>
    <w:p>
      <w:pPr>
        <w:spacing w:after="100" w:before="220"/>
      </w:pPr>
      <w:r>
        <w:rPr>
          <w:rFonts w:ascii="Calibri" w:cs="Calibri" w:eastAsia="Calibri" w:hAnsi="Calibri"/>
          <w:b/>
          <w:bCs/>
          <w:color w:val="0E1F33"/>
          <w:sz w:val="20"/>
          <w:szCs w:val="20"/>
        </w:rPr>
        <w:t xml:space="preserve">Tagging chronic conditions with intent</w:t>
      </w:r>
    </w:p>
    <w:p>
      <w:pPr>
        <w:spacing w:after="160"/>
      </w:pPr>
      <w:r>
        <w:rPr>
          <w:rFonts w:ascii="Calibri" w:cs="Calibri" w:eastAsia="Calibri" w:hAnsi="Calibri"/>
          <w:color w:val="5C6678"/>
          <w:sz w:val="21"/>
          <w:szCs w:val="21"/>
        </w:rPr>
        <w:t xml:space="preserve">Chronic conditions — CKD, diabetes, hypertension, sickle cell disease, HIV-positive on ART — can be tagged directly on the patient record. A tag is not a passive label; it actively surfaces the patient in relevant Dashboard widgets and can drive scheduling reminders, so a clinical team managing a panel of chronic patients has visibility without manually cross-referencing records. The renal tag is the most functionally significant example: setting renal: true on a patient doesn't just add a label, it routes that patient into the Renal &amp; Dialysis module, where their dialysis sessions, dry weight tracking, vascular access notes, and renal panel results are aggregated into one longitudinal view — a capability that simply doesn't exist for an untagged patient, regardless of how many renal-related tests they've had.</w:t>
      </w:r>
    </w:p>
    <w:p>
      <w:pPr>
        <w:spacing w:after="100" w:before="220"/>
      </w:pPr>
      <w:r>
        <w:rPr>
          <w:rFonts w:ascii="Calibri" w:cs="Calibri" w:eastAsia="Calibri" w:hAnsi="Calibri"/>
          <w:b/>
          <w:bCs/>
          <w:color w:val="0E1F33"/>
          <w:sz w:val="20"/>
          <w:szCs w:val="20"/>
        </w:rPr>
        <w:t xml:space="preserve">Capturing vitals completely, not just adequately</w:t>
      </w:r>
    </w:p>
    <w:p>
      <w:pPr>
        <w:spacing w:after="160"/>
      </w:pPr>
      <w:r>
        <w:rPr>
          <w:rFonts w:ascii="Calibri" w:cs="Calibri" w:eastAsia="Calibri" w:hAnsi="Calibri"/>
          <w:color w:val="5C6678"/>
          <w:sz w:val="21"/>
          <w:szCs w:val="21"/>
        </w:rPr>
        <w:t xml:space="preserve">Vitals should be captured at three points in particular: front-desk triage, before any dialysis session, and on admission. The Capture vitals modal records nine data points — systolic and diastolic blood pressure, heart rate, temperature, SpO₂, respiratory rate, weight, height (from which BMI is auto-computed), and a pain score. Capturing all nine, rather than only the ones that feel relevant to today's specific complaint, is what builds a genuinely useful longitudinal vitals history — a single isolated blood pressure reading tells a clinician far less than a trend across multiple visits.</w:t>
      </w:r>
    </w:p>
    <w:p>
      <w:pPr>
        <w:spacing w:after="100" w:before="220"/>
      </w:pPr>
      <w:r>
        <w:rPr>
          <w:rFonts w:ascii="Calibri" w:cs="Calibri" w:eastAsia="Calibri" w:hAnsi="Calibri"/>
          <w:b/>
          <w:bCs/>
          <w:color w:val="0E1F33"/>
          <w:sz w:val="20"/>
          <w:szCs w:val="20"/>
        </w:rPr>
        <w:t xml:space="preserve">How LabOS catches a dangerous vital automatically</w:t>
      </w:r>
    </w:p>
    <w:p>
      <w:pPr>
        <w:spacing w:after="160"/>
      </w:pPr>
      <w:r>
        <w:rPr>
          <w:rFonts w:ascii="Calibri" w:cs="Calibri" w:eastAsia="Calibri" w:hAnsi="Calibri"/>
          <w:color w:val="5C6678"/>
          <w:sz w:val="21"/>
          <w:szCs w:val="21"/>
        </w:rPr>
        <w:t xml:space="preserve">LabOS flags specific vital-sign thresholds as critical without anyone needing to manually review them: blood pressure below 90/60 or above 180/110 mmHg, SpO₂ below 92%, temperature above 39°C or below 35°C, and heart rate below 45 or above 130 bpm. When any of these thresholds is crossed, two things happen automatically — an alert is sent to the on-call clinician, and the value is recorded with a red flag in the patient's history. This mirrors the critical-result handling you learned for laboratory results in Module 1: the system does not wait for a human to notice a dangerous number in a busy queue.</w:t>
      </w:r>
    </w:p>
    <w:p>
      <w:pPr>
        <w:spacing w:after="100" w:before="220"/>
      </w:pPr>
      <w:r>
        <w:rPr>
          <w:rFonts w:ascii="Calibri" w:cs="Calibri" w:eastAsia="Calibri" w:hAnsi="Calibri"/>
          <w:b/>
          <w:bCs/>
          <w:color w:val="0E1F33"/>
          <w:sz w:val="20"/>
          <w:szCs w:val="20"/>
        </w:rPr>
        <w:t xml:space="preserve">Who can see what — the sensitive-data access model</w:t>
      </w:r>
    </w:p>
    <w:p>
      <w:pPr>
        <w:spacing w:after="160"/>
      </w:pPr>
      <w:r>
        <w:rPr>
          <w:rFonts w:ascii="Calibri" w:cs="Calibri" w:eastAsia="Calibri" w:hAnsi="Calibri"/>
          <w:color w:val="5C6678"/>
          <w:sz w:val="21"/>
          <w:szCs w:val="21"/>
        </w:rPr>
        <w:t xml:space="preserve">Basic biodata — name, age, sex — is visible to any authenticated user in your tenant, because most day-to-day laboratory work legitimately requires it. Specific sensitive categories are restricted far more narrowly: HIV results are visible only to clinical roles (LAB_DIRECTOR, PATHOLOGIST, MED_LAB_SCIENTIST); mental health information is visible only to users specifically authorised on a per-patient basis; STI and other confidential panels are visible to the requesting clinician and the lab director only; and paternity results are visible only to the requesting party named on the consent form. Every single view of one of these sensitive fields — not just edits — is recorded in the audit log, together with the user, the timestamp, and (where applicable) the stated reason. That audit log is hash-chained specifically so that tampering with the log itself is detectable, not just discouraged.</w:t>
      </w:r>
    </w:p>
    <w:p>
      <w:pPr>
        <w:pStyle w:val="Heading2"/>
      </w:pPr>
      <w:r>
        <w:rPr>
          <w:rFonts w:ascii="Calibri" w:cs="Calibri" w:eastAsia="Calibri" w:hAnsi="Calibri"/>
        </w:rPr>
        <w:t xml:space="preserve">Best Practices</w:t>
      </w:r>
    </w:p>
    <w:p>
      <w:pPr>
        <w:pStyle w:val="ListParagraph"/>
        <w:numPr>
          <w:ilvl w:val="0"/>
          <w:numId w:val="3"/>
        </w:numPr>
        <w:spacing w:after="90"/>
      </w:pPr>
      <w:r>
        <w:rPr>
          <w:rFonts w:ascii="Calibri" w:cs="Calibri" w:eastAsia="Calibri" w:hAnsi="Calibri"/>
          <w:color w:val="5C6678"/>
          <w:sz w:val="21"/>
          <w:szCs w:val="21"/>
        </w:rPr>
        <w:t xml:space="preserve">Apply chronic-disease tags as soon as a condition is confirmed, not retroactively — the longer a CKD or diabetic patient goes untagged, the more dashboard and scheduling value is lost.</w:t>
      </w:r>
    </w:p>
    <w:p>
      <w:pPr>
        <w:pStyle w:val="ListParagraph"/>
        <w:numPr>
          <w:ilvl w:val="0"/>
          <w:numId w:val="3"/>
        </w:numPr>
        <w:spacing w:after="90"/>
      </w:pPr>
      <w:r>
        <w:rPr>
          <w:rFonts w:ascii="Calibri" w:cs="Calibri" w:eastAsia="Calibri" w:hAnsi="Calibri"/>
          <w:color w:val="5C6678"/>
          <w:sz w:val="21"/>
          <w:szCs w:val="21"/>
        </w:rPr>
        <w:t xml:space="preserve">Capture all nine vital-sign fields every time, even when only one or two seem clinically relevant to the immediate visit.</w:t>
      </w:r>
    </w:p>
    <w:p>
      <w:pPr>
        <w:pStyle w:val="ListParagraph"/>
        <w:numPr>
          <w:ilvl w:val="0"/>
          <w:numId w:val="3"/>
        </w:numPr>
        <w:spacing w:after="90"/>
      </w:pPr>
      <w:r>
        <w:rPr>
          <w:rFonts w:ascii="Calibri" w:cs="Calibri" w:eastAsia="Calibri" w:hAnsi="Calibri"/>
          <w:color w:val="5C6678"/>
          <w:sz w:val="21"/>
          <w:szCs w:val="21"/>
        </w:rPr>
        <w:t xml:space="preserve">If a critical vital threshold triggers an alert, treat it with the same urgency as a critical laboratory result from Module 1 — both exist for the identical underlying reason.</w:t>
      </w:r>
    </w:p>
    <w:p>
      <w:pPr>
        <w:pStyle w:val="ListParagraph"/>
        <w:numPr>
          <w:ilvl w:val="0"/>
          <w:numId w:val="3"/>
        </w:numPr>
        <w:spacing w:after="90"/>
      </w:pPr>
      <w:r>
        <w:rPr>
          <w:rFonts w:ascii="Calibri" w:cs="Calibri" w:eastAsia="Calibri" w:hAnsi="Calibri"/>
          <w:color w:val="5C6678"/>
          <w:sz w:val="21"/>
          <w:szCs w:val="21"/>
        </w:rPr>
        <w:t xml:space="preserve">When accessing a sensitive field as an authorised user, be deliberate about it — remember that the access itself, not just any change you make, is permanently logged.</w:t>
      </w:r>
    </w:p>
    <w:p>
      <w:pPr>
        <w:pStyle w:val="Heading2"/>
      </w:pPr>
      <w:r>
        <w:rPr>
          <w:rFonts w:ascii="Calibri" w:cs="Calibri" w:eastAsia="Calibri" w:hAnsi="Calibri"/>
        </w:rPr>
        <w:t xml:space="preserve">Common Errors</w:t>
      </w:r>
    </w:p>
    <w:p>
      <w:pPr>
        <w:pStyle w:val="ListParagraph"/>
        <w:numPr>
          <w:ilvl w:val="0"/>
          <w:numId w:val="3"/>
        </w:numPr>
        <w:spacing w:after="90"/>
      </w:pPr>
      <w:r>
        <w:rPr>
          <w:rFonts w:ascii="Calibri" w:cs="Calibri" w:eastAsia="Calibri" w:hAnsi="Calibri"/>
          <w:color w:val="5C6678"/>
          <w:sz w:val="21"/>
          <w:szCs w:val="21"/>
        </w:rPr>
        <w:t xml:space="preserve">Treating chronic-disease tags as descriptive notes rather than functional switches that change what the patient record actually does in the system.</w:t>
      </w:r>
    </w:p>
    <w:p>
      <w:pPr>
        <w:pStyle w:val="ListParagraph"/>
        <w:numPr>
          <w:ilvl w:val="0"/>
          <w:numId w:val="3"/>
        </w:numPr>
        <w:spacing w:after="90"/>
      </w:pPr>
      <w:r>
        <w:rPr>
          <w:rFonts w:ascii="Calibri" w:cs="Calibri" w:eastAsia="Calibri" w:hAnsi="Calibri"/>
          <w:color w:val="5C6678"/>
          <w:sz w:val="21"/>
          <w:szCs w:val="21"/>
        </w:rPr>
        <w:t xml:space="preserve">Capturing only a subset of the nine vital-sign fields because the rest "don't seem relevant today," weakening the longitudinal history for future clinical decisions.</w:t>
      </w:r>
    </w:p>
    <w:p>
      <w:pPr>
        <w:pStyle w:val="ListParagraph"/>
        <w:numPr>
          <w:ilvl w:val="0"/>
          <w:numId w:val="3"/>
        </w:numPr>
        <w:spacing w:after="90"/>
      </w:pPr>
      <w:r>
        <w:rPr>
          <w:rFonts w:ascii="Calibri" w:cs="Calibri" w:eastAsia="Calibri" w:hAnsi="Calibri"/>
          <w:color w:val="5C6678"/>
          <w:sz w:val="21"/>
          <w:szCs w:val="21"/>
        </w:rPr>
        <w:t xml:space="preserve">Assuming a critical vital alert is the same as a software error or false positive, rather than the system correctly doing exactly what it's designed to do.</w:t>
      </w:r>
    </w:p>
    <w:p>
      <w:pPr>
        <w:pStyle w:val="ListParagraph"/>
        <w:numPr>
          <w:ilvl w:val="0"/>
          <w:numId w:val="3"/>
        </w:numPr>
        <w:spacing w:after="90"/>
      </w:pPr>
      <w:r>
        <w:rPr>
          <w:rFonts w:ascii="Calibri" w:cs="Calibri" w:eastAsia="Calibri" w:hAnsi="Calibri"/>
          <w:color w:val="5C6678"/>
          <w:sz w:val="21"/>
          <w:szCs w:val="21"/>
        </w:rPr>
        <w:t xml:space="preserve">Non-clinical staff attempting to access a sensitive field out of curiosity rather than clinical need, not realising the access itself — successful or not — is permanently and traceably logged.</w:t>
      </w:r>
    </w:p>
    <w:p>
      <w:pPr>
        <w:pStyle w:val="Heading2"/>
      </w:pPr>
      <w:r>
        <w:rPr>
          <w:rFonts w:ascii="Calibri" w:cs="Calibri" w:eastAsia="Calibri" w:hAnsi="Calibri"/>
        </w:rPr>
        <w:t xml:space="preserve">Practical Exercise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8DCE2" w:sz="4"/>
              <w:left w:val="single" w:color="C46A3E" w:sz="18"/>
              <w:bottom w:val="single" w:color="D8DCE2" w:sz="4"/>
              <w:right w:val="single" w:color="D8DCE2" w:sz="4"/>
            </w:tcBorders>
            <w:shd w:fill="E8F3FE" w:val="clear"/>
            <w:tcMar>
              <w:top w:type="dxa" w:w="180"/>
              <w:left w:type="dxa" w:w="220"/>
              <w:bottom w:type="dxa" w:w="180"/>
              <w:right w:type="dxa" w:w="220"/>
            </w:tcMar>
          </w:tcPr>
          <w:p>
            <w:pPr>
              <w:spacing w:after="90"/>
            </w:pPr>
            <w:r>
              <w:rPr>
                <w:rFonts w:ascii="Calibri" w:cs="Calibri" w:eastAsia="Calibri" w:hAnsi="Calibri"/>
                <w:b/>
                <w:bCs/>
                <w:color w:val="A8552E"/>
                <w:spacing w:val="8"/>
                <w:sz w:val="19"/>
                <w:szCs w:val="19"/>
              </w:rPr>
              <w:t xml:space="preserve">EXERCISE 2.3 — TAG, CAPTURE, AND TRIGGER</w:t>
            </w:r>
          </w:p>
          <w:p>
            <w:r>
              <w:rPr>
                <w:rFonts w:ascii="Calibri" w:cs="Calibri" w:eastAsia="Calibri" w:hAnsi="Calibri"/>
                <w:i/>
                <w:iCs/>
                <w:color w:val="0E1F33"/>
                <w:sz w:val="21"/>
                <w:szCs w:val="21"/>
              </w:rPr>
              <w:t xml:space="preserve">In a sandbox LabOS environment, apply the renal chronic-disease tag to a test patient and confirm they now appear correctly routed in the Renal &amp; Dialysis module. Then open the Capture vitals modal for the same patient and enter all nine fields, deliberately entering one value that should trigger a critical alert (for example, a systolic BP below 90 or an SpO₂ below 92%). Confirm the critical flag appears in the patient's history. Finally, using a non-clinical sandbox role if available, attempt to view a sensitive field (such as an HIV result) and confirm access is correctly denied or restricted — then check whether your attempt appears in the audit log.</w:t>
            </w:r>
          </w:p>
        </w:tc>
      </w:tr>
    </w:tbl>
    <w:p>
      <w:pPr>
        <w:pStyle w:val="Heading2"/>
      </w:pPr>
      <w:r>
        <w:rPr>
          <w:rFonts w:ascii="Calibri" w:cs="Calibri" w:eastAsia="Calibri" w:hAnsi="Calibri"/>
        </w:rPr>
        <w:t xml:space="preserve">Knowledge Check</w:t>
      </w:r>
    </w:p>
    <w:p>
      <w:pPr>
        <w:spacing w:after="50" w:before="140"/>
      </w:pPr>
      <w:r>
        <w:rPr>
          <w:rFonts w:ascii="Calibri" w:cs="Calibri" w:eastAsia="Calibri" w:hAnsi="Calibri"/>
          <w:b/>
          <w:bCs/>
          <w:color w:val="0E1F33"/>
          <w:sz w:val="21"/>
          <w:szCs w:val="21"/>
        </w:rPr>
        <w:t xml:space="preserve">1. What is the functional difference between tagging a patient as "renal" and simply noting "chronic kidney disease" in a free-text field?</w:t>
      </w:r>
    </w:p>
    <w:p>
      <w:pPr>
        <w:spacing w:after="60"/>
      </w:pPr>
      <w:r>
        <w:rPr>
          <w:rFonts w:ascii="Calibri" w:cs="Calibri" w:eastAsia="Calibri" w:hAnsi="Calibri"/>
          <w:color w:val="5C6678"/>
          <w:sz w:val="20"/>
          <w:szCs w:val="20"/>
        </w:rPr>
        <w:t xml:space="preserve">The renal tag actively routes the patient into the Renal &amp; Dialysis module, aggregating their dialysis sessions, dry weight tracking, vascular access notes, and renal panel results into one longitudinal view — a free-text note has no such functional effect and would not trigger this routing.</w:t>
      </w:r>
    </w:p>
    <w:p>
      <w:pPr>
        <w:spacing w:after="50" w:before="140"/>
      </w:pPr>
      <w:r>
        <w:rPr>
          <w:rFonts w:ascii="Calibri" w:cs="Calibri" w:eastAsia="Calibri" w:hAnsi="Calibri"/>
          <w:b/>
          <w:bCs/>
          <w:color w:val="0E1F33"/>
          <w:sz w:val="21"/>
          <w:szCs w:val="21"/>
        </w:rPr>
        <w:t xml:space="preserve">2. A patient's SpO₂ is recorded at 91% during front-desk triage. What happens automatically in LabOS, and why does this matter operationally?</w:t>
      </w:r>
    </w:p>
    <w:p>
      <w:pPr>
        <w:spacing w:after="60"/>
      </w:pPr>
      <w:r>
        <w:rPr>
          <w:rFonts w:ascii="Calibri" w:cs="Calibri" w:eastAsia="Calibri" w:hAnsi="Calibri"/>
          <w:color w:val="5C6678"/>
          <w:sz w:val="20"/>
          <w:szCs w:val="20"/>
        </w:rPr>
        <w:t xml:space="preserve">LabOS automatically flags this as a critical vital (the threshold is below 92%), alerts the on-call clinician, and records it with a red flag in the patient's history — this matters because it ensures a dangerous reading is acted on immediately rather than depending on a busy front-desk officer noticing it and escalating manually.</w:t>
      </w:r>
    </w:p>
    <w:p>
      <w:pPr>
        <w:spacing w:after="50" w:before="140"/>
      </w:pPr>
      <w:r>
        <w:rPr>
          <w:rFonts w:ascii="Calibri" w:cs="Calibri" w:eastAsia="Calibri" w:hAnsi="Calibri"/>
          <w:b/>
          <w:bCs/>
          <w:color w:val="0E1F33"/>
          <w:sz w:val="21"/>
          <w:szCs w:val="21"/>
        </w:rPr>
        <w:t xml:space="preserve">3. Why is the audit log for sensitive-field access specifically described as "hash-chained," and why does that matter more here than for ordinary record views?</w:t>
      </w:r>
    </w:p>
    <w:p>
      <w:pPr>
        <w:spacing w:after="60"/>
      </w:pPr>
      <w:r>
        <w:rPr>
          <w:rFonts w:ascii="Calibri" w:cs="Calibri" w:eastAsia="Calibri" w:hAnsi="Calibri"/>
          <w:color w:val="5C6678"/>
          <w:sz w:val="20"/>
          <w:szCs w:val="20"/>
        </w:rPr>
        <w:t xml:space="preserve">Hash-chaining makes tampering with the log itself detectable — this matters especially for sensitive-field access (HIV status, mental health, STI panels, paternity results) because these are exactly the categories of access most likely to be a target for someone trying to cover up improper viewing, so the integrity of the log itself needs a stronger guarantee than for routine activity.</w:t>
      </w:r>
    </w:p>
    <w:p>
      <w:pPr>
        <w:pBdr>
          <w:top w:val="single" w:color="0E1F33" w:sz="14" w:space="10"/>
        </w:pBdr>
        <w:spacing w:after="200" w:before="360"/>
      </w:pPr>
      <w:r>
        <w:rPr>
          <w:rFonts w:ascii="Calibri" w:cs="Calibri" w:eastAsia="Calibri" w:hAnsi="Calibri"/>
          <w:b/>
          <w:bCs/>
          <w:color w:val="0E1F33"/>
          <w:spacing w:val="10"/>
          <w:sz w:val="19"/>
          <w:szCs w:val="19"/>
        </w:rPr>
        <w:t xml:space="preserve">VIDEO SCRIPT — LESSON 2.3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TITLE</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"Clinical Context: Tags, Vitals, and Who's Allowed to See What" — CLA Module 2, Lesson 3</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VIDEO OBJECTIVE</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Learner can apply chronic-disease tags correctly, capture a complete vitals set, recognise critical thresholds, and explain the sensitive-data access model.</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RECOMMENDED DURATION</w:t>
            </w:r>
          </w:p>
        </w:tc>
        <w:tc>
          <w:tcPr>
            <w:tcW w:type="dxa" w:w="7320"/>
            <w:tcBorders>
              <w:top w:val="single" w:color="D8DCE2" w:sz="4"/>
              <w:left w:val="single" w:color="D8DCE2" w:sz="4"/>
              <w:bottom w:val="single" w:color="D8DCE2" w:sz="4"/>
              <w:right w:val="single" w:color="D8DCE2" w:sz="4"/>
            </w:tcBorders>
            <w:shd w:fill="FFFFFF" w:val="clear"/>
            <w:tcMar>
              <w:top w:type="dxa" w:w="100"/>
              <w:left w:type="dxa" w:w="160"/>
              <w:bottom w:type="dxa" w:w="100"/>
              <w:right w:type="dxa" w:w="160"/>
            </w:tcMar>
            <w:vAlign w:val="center"/>
          </w:tcPr>
          <w:p>
            <w:r>
              <w:rPr>
                <w:rFonts w:ascii="Calibri" w:cs="Calibri" w:eastAsia="Calibri" w:hAnsi="Calibri"/>
                <w:color w:val="5C6678"/>
                <w:sz w:val="20"/>
                <w:szCs w:val="20"/>
              </w:rPr>
              <w:t xml:space="preserve">9–11 minutes</w:t>
            </w:r>
          </w:p>
        </w:tc>
      </w:tr>
      <w:tr>
        <w:tc>
          <w:tcPr>
            <w:tcW w:type="dxa" w:w="2400"/>
            <w:tcBorders>
              <w:top w:val="single" w:color="D8DCE2" w:sz="4"/>
              <w:left w:val="single" w:color="D8DCE2" w:sz="4"/>
              <w:bottom w:val="single" w:color="D8DCE2" w:sz="4"/>
              <w:right w:val="single" w:color="D8DCE2" w:sz="4"/>
            </w:tcBorders>
            <w:shd w:fill="0E1F33" w:val="clear"/>
            <w:tcMar>
              <w:top w:type="dxa" w:w="100"/>
              <w:left w:type="dxa" w:w="160"/>
              <w:bottom w:type="dxa" w:w="100"/>
              <w:right w:type="dxa" w:w="120"/>
            </w:tcMar>
            <w:vAlign w:val="center"/>
          </w:tcPr>
          <w:p>
            <w:r>
              <w:rPr>
                <w:rFonts w:ascii="Calibri" w:cs="Calibri" w:eastAsia="Calibri" w:hAnsi="Calibri"/>
                <w:b/>
                <w:bCs/>
                <w:color w:val="FFFFFF"/>
                <w:spacing w:val="6"/>
                <w:sz w:val="17"/>
                <w:szCs w:val="17"/>
              </w:rPr>
              <w:t xml:space="preserve">FORMAT</w:t>
            </w:r>
          </w:p>
        </w:tc>
        <w:tc>
          <w:tcPr>
            <w:tcW w:type="dxa" w:w="732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60"/>
            </w:tcMar>
            <w:vAlign w:val="center"/>
          </w:tcPr>
          <w:p>
            <w:r>
              <w:rPr>
                <w:rFonts w:ascii="Calibri" w:cs="Calibri" w:eastAsia="Calibri" w:hAnsi="Calibri"/>
                <w:color w:val="5C6678"/>
                <w:sz w:val="20"/>
                <w:szCs w:val="20"/>
              </w:rPr>
              <w:t xml:space="preserve">Screen recording with presenter voiceover; brief to-camera segment for the access-control explanation</w:t>
            </w:r>
          </w:p>
        </w:tc>
      </w:tr>
    </w:tbl>
    <w:p>
      <w:pPr>
        <w:spacing w:after="180"/>
      </w:pPr>
    </w:p>
    <w:p>
      <w:pPr>
        <w:spacing w:after="100" w:before="220"/>
      </w:pPr>
      <w:r>
        <w:rPr>
          <w:rFonts w:ascii="Calibri" w:cs="Calibri" w:eastAsia="Calibri" w:hAnsi="Calibri"/>
          <w:b/>
          <w:bCs/>
          <w:color w:val="0E1F33"/>
          <w:sz w:val="22"/>
          <w:szCs w:val="22"/>
        </w:rPr>
        <w:t xml:space="preserve">Detailed Video Outline</w:t>
      </w:r>
    </w:p>
    <w:p>
      <w:pPr>
        <w:pStyle w:val="ListParagraph"/>
        <w:numPr>
          <w:ilvl w:val="0"/>
          <w:numId w:val="8"/>
        </w:numPr>
        <w:spacing w:after="90"/>
      </w:pPr>
      <w:r>
        <w:rPr>
          <w:rFonts w:ascii="Calibri" w:cs="Calibri" w:eastAsia="Calibri" w:hAnsi="Calibri"/>
          <w:color w:val="5C6678"/>
          <w:sz w:val="21"/>
          <w:szCs w:val="21"/>
        </w:rPr>
        <w:t xml:space="preserve">Cold open (0:00–0:40) — "A patient record can do more than store information — it can actively protect someone. Here's how."</w:t>
      </w:r>
    </w:p>
    <w:p>
      <w:pPr>
        <w:pStyle w:val="ListParagraph"/>
        <w:numPr>
          <w:ilvl w:val="0"/>
          <w:numId w:val="8"/>
        </w:numPr>
        <w:spacing w:after="90"/>
      </w:pPr>
      <w:r>
        <w:rPr>
          <w:rFonts w:ascii="Calibri" w:cs="Calibri" w:eastAsia="Calibri" w:hAnsi="Calibri"/>
          <w:color w:val="5C6678"/>
          <w:sz w:val="21"/>
          <w:szCs w:val="21"/>
        </w:rPr>
        <w:t xml:space="preserve">Chronic-disease tags and the renal tag, live demo (0:40–3:00).</w:t>
      </w:r>
    </w:p>
    <w:p>
      <w:pPr>
        <w:pStyle w:val="ListParagraph"/>
        <w:numPr>
          <w:ilvl w:val="0"/>
          <w:numId w:val="8"/>
        </w:numPr>
        <w:spacing w:after="90"/>
      </w:pPr>
      <w:r>
        <w:rPr>
          <w:rFonts w:ascii="Calibri" w:cs="Calibri" w:eastAsia="Calibri" w:hAnsi="Calibri"/>
          <w:color w:val="5C6678"/>
          <w:sz w:val="21"/>
          <w:szCs w:val="21"/>
        </w:rPr>
        <w:t xml:space="preserve">Capturing a full vitals set, live demo (3:00–5:30).</w:t>
      </w:r>
    </w:p>
    <w:p>
      <w:pPr>
        <w:pStyle w:val="ListParagraph"/>
        <w:numPr>
          <w:ilvl w:val="0"/>
          <w:numId w:val="8"/>
        </w:numPr>
        <w:spacing w:after="90"/>
      </w:pPr>
      <w:r>
        <w:rPr>
          <w:rFonts w:ascii="Calibri" w:cs="Calibri" w:eastAsia="Calibri" w:hAnsi="Calibri"/>
          <w:color w:val="5C6678"/>
          <w:sz w:val="21"/>
          <w:szCs w:val="21"/>
        </w:rPr>
        <w:t xml:space="preserve">Triggering a critical vital threshold, live demo (5:30–7:00).</w:t>
      </w:r>
    </w:p>
    <w:p>
      <w:pPr>
        <w:pStyle w:val="ListParagraph"/>
        <w:numPr>
          <w:ilvl w:val="0"/>
          <w:numId w:val="8"/>
        </w:numPr>
        <w:spacing w:after="90"/>
      </w:pPr>
      <w:r>
        <w:rPr>
          <w:rFonts w:ascii="Calibri" w:cs="Calibri" w:eastAsia="Calibri" w:hAnsi="Calibri"/>
          <w:color w:val="5C6678"/>
          <w:sz w:val="21"/>
          <w:szCs w:val="21"/>
        </w:rPr>
        <w:t xml:space="preserve">Sensitive-data access model, explained to camera with on-screen role graphic (7:00–9:00).</w:t>
      </w:r>
    </w:p>
    <w:p>
      <w:pPr>
        <w:pStyle w:val="ListParagraph"/>
        <w:numPr>
          <w:ilvl w:val="0"/>
          <w:numId w:val="8"/>
        </w:numPr>
        <w:spacing w:after="90"/>
      </w:pPr>
      <w:r>
        <w:rPr>
          <w:rFonts w:ascii="Calibri" w:cs="Calibri" w:eastAsia="Calibri" w:hAnsi="Calibri"/>
          <w:color w:val="5C6678"/>
          <w:sz w:val="21"/>
          <w:szCs w:val="21"/>
        </w:rPr>
        <w:t xml:space="preserve">Audit log walkthrough for a sensitive-field view (9:00–10:00).</w:t>
      </w:r>
    </w:p>
    <w:p>
      <w:pPr>
        <w:pStyle w:val="ListParagraph"/>
        <w:numPr>
          <w:ilvl w:val="0"/>
          <w:numId w:val="8"/>
        </w:numPr>
        <w:spacing w:after="90"/>
      </w:pPr>
      <w:r>
        <w:rPr>
          <w:rFonts w:ascii="Calibri" w:cs="Calibri" w:eastAsia="Calibri" w:hAnsi="Calibri"/>
          <w:color w:val="5C6678"/>
          <w:sz w:val="21"/>
          <w:szCs w:val="21"/>
        </w:rPr>
        <w:t xml:space="preserve">Close + module wrap-up, transition to Module 3 (10:00–end).</w:t>
      </w:r>
    </w:p>
    <w:p>
      <w:pPr>
        <w:spacing w:after="100" w:before="220"/>
      </w:pPr>
      <w:r>
        <w:rPr>
          <w:rFonts w:ascii="Calibri" w:cs="Calibri" w:eastAsia="Calibri" w:hAnsi="Calibri"/>
          <w:b/>
          <w:bCs/>
          <w:color w:val="0E1F33"/>
          <w:sz w:val="22"/>
          <w:szCs w:val="22"/>
        </w:rPr>
        <w:t xml:space="preserve">Presenter Talking Points</w:t>
      </w:r>
    </w:p>
    <w:p>
      <w:pPr>
        <w:pStyle w:val="ListParagraph"/>
        <w:numPr>
          <w:ilvl w:val="0"/>
          <w:numId w:val="3"/>
        </w:numPr>
        <w:spacing w:after="90"/>
      </w:pPr>
      <w:r>
        <w:rPr>
          <w:rFonts w:ascii="Calibri" w:cs="Calibri" w:eastAsia="Calibri" w:hAnsi="Calibri"/>
          <w:color w:val="5C6678"/>
          <w:sz w:val="21"/>
          <w:szCs w:val="21"/>
        </w:rPr>
        <w:t xml:space="preserve">When applying the renal tag, narrate the "before and after" explicitly: "Watch what happens to this patient's available modules the moment I save this tag."</w:t>
      </w:r>
    </w:p>
    <w:p>
      <w:pPr>
        <w:pStyle w:val="ListParagraph"/>
        <w:numPr>
          <w:ilvl w:val="0"/>
          <w:numId w:val="3"/>
        </w:numPr>
        <w:spacing w:after="90"/>
      </w:pPr>
      <w:r>
        <w:rPr>
          <w:rFonts w:ascii="Calibri" w:cs="Calibri" w:eastAsia="Calibri" w:hAnsi="Calibri"/>
          <w:color w:val="5C6678"/>
          <w:sz w:val="21"/>
          <w:szCs w:val="21"/>
        </w:rPr>
        <w:t xml:space="preserve">During the critical-vital demo, deliberately pause on the moment the alert fires: "That alert just went to the on-call clinician automatically — nobody had to notice this number themselves."</w:t>
      </w:r>
    </w:p>
    <w:p>
      <w:pPr>
        <w:pStyle w:val="ListParagraph"/>
        <w:numPr>
          <w:ilvl w:val="0"/>
          <w:numId w:val="3"/>
        </w:numPr>
        <w:spacing w:after="90"/>
      </w:pPr>
      <w:r>
        <w:rPr>
          <w:rFonts w:ascii="Calibri" w:cs="Calibri" w:eastAsia="Calibri" w:hAnsi="Calibri"/>
          <w:color w:val="5C6678"/>
          <w:sz w:val="21"/>
          <w:szCs w:val="21"/>
        </w:rPr>
        <w:t xml:space="preserve">When explaining sensitive-data access, be direct about the reasoning rather than just listing the rule: "This isn't about distrust — HIV status and mental health information carry real social risk if mishandled, so the system narrows access deliberately."</w:t>
      </w:r>
    </w:p>
    <w:p>
      <w:pPr>
        <w:pStyle w:val="ListParagraph"/>
        <w:numPr>
          <w:ilvl w:val="0"/>
          <w:numId w:val="3"/>
        </w:numPr>
        <w:spacing w:after="90"/>
      </w:pPr>
      <w:r>
        <w:rPr>
          <w:rFonts w:ascii="Calibri" w:cs="Calibri" w:eastAsia="Calibri" w:hAnsi="Calibri"/>
          <w:color w:val="5C6678"/>
          <w:sz w:val="21"/>
          <w:szCs w:val="21"/>
        </w:rPr>
        <w:t xml:space="preserve">Close the access-control segment with a memorable line: "Every time someone looks at one of these fields, the system remembers — whether they should have or not."</w:t>
      </w:r>
    </w:p>
    <w:p>
      <w:pPr>
        <w:spacing w:after="100" w:before="220"/>
      </w:pPr>
      <w:r>
        <w:rPr>
          <w:rFonts w:ascii="Calibri" w:cs="Calibri" w:eastAsia="Calibri" w:hAnsi="Calibri"/>
          <w:b/>
          <w:bCs/>
          <w:color w:val="0E1F33"/>
          <w:sz w:val="22"/>
          <w:szCs w:val="22"/>
        </w:rPr>
        <w:t xml:space="preserve">Demonstration Steps (Screen Recording)</w:t>
      </w:r>
    </w:p>
    <w:p>
      <w:pPr>
        <w:pStyle w:val="ListParagraph"/>
        <w:numPr>
          <w:ilvl w:val="0"/>
          <w:numId w:val="9"/>
        </w:numPr>
        <w:spacing w:after="90"/>
      </w:pPr>
      <w:r>
        <w:rPr>
          <w:rFonts w:ascii="Calibri" w:cs="Calibri" w:eastAsia="Calibri" w:hAnsi="Calibri"/>
          <w:color w:val="5C6678"/>
          <w:sz w:val="21"/>
          <w:szCs w:val="21"/>
        </w:rPr>
        <w:t xml:space="preserve">Open a sandbox patient record, apply the renal chronic-disease tag, save.</w:t>
      </w:r>
    </w:p>
    <w:p>
      <w:pPr>
        <w:pStyle w:val="ListParagraph"/>
        <w:numPr>
          <w:ilvl w:val="0"/>
          <w:numId w:val="9"/>
        </w:numPr>
        <w:spacing w:after="90"/>
      </w:pPr>
      <w:r>
        <w:rPr>
          <w:rFonts w:ascii="Calibri" w:cs="Calibri" w:eastAsia="Calibri" w:hAnsi="Calibri"/>
          <w:color w:val="5C6678"/>
          <w:sz w:val="21"/>
          <w:szCs w:val="21"/>
        </w:rPr>
        <w:t xml:space="preserve">Navigate to the Renal &amp; Dialysis module, show the patient now appears there with aggregated data sections.</w:t>
      </w:r>
    </w:p>
    <w:p>
      <w:pPr>
        <w:pStyle w:val="ListParagraph"/>
        <w:numPr>
          <w:ilvl w:val="0"/>
          <w:numId w:val="9"/>
        </w:numPr>
        <w:spacing w:after="90"/>
      </w:pPr>
      <w:r>
        <w:rPr>
          <w:rFonts w:ascii="Calibri" w:cs="Calibri" w:eastAsia="Calibri" w:hAnsi="Calibri"/>
          <w:color w:val="5C6678"/>
          <w:sz w:val="21"/>
          <w:szCs w:val="21"/>
        </w:rPr>
        <w:t xml:space="preserve">Open Capture vitals modal, fill all nine fields, narrating each briefly.</w:t>
      </w:r>
    </w:p>
    <w:p>
      <w:pPr>
        <w:pStyle w:val="ListParagraph"/>
        <w:numPr>
          <w:ilvl w:val="0"/>
          <w:numId w:val="9"/>
        </w:numPr>
        <w:spacing w:after="90"/>
      </w:pPr>
      <w:r>
        <w:rPr>
          <w:rFonts w:ascii="Calibri" w:cs="Calibri" w:eastAsia="Calibri" w:hAnsi="Calibri"/>
          <w:color w:val="5C6678"/>
          <w:sz w:val="21"/>
          <w:szCs w:val="21"/>
        </w:rPr>
        <w:t xml:space="preserve">Enter a value that crosses a critical threshold (e.g., SpO₂ at 91%), save, show the resulting alert and red flag.</w:t>
      </w:r>
    </w:p>
    <w:p>
      <w:pPr>
        <w:pStyle w:val="ListParagraph"/>
        <w:numPr>
          <w:ilvl w:val="0"/>
          <w:numId w:val="9"/>
        </w:numPr>
        <w:spacing w:after="90"/>
      </w:pPr>
      <w:r>
        <w:rPr>
          <w:rFonts w:ascii="Calibri" w:cs="Calibri" w:eastAsia="Calibri" w:hAnsi="Calibri"/>
          <w:color w:val="5C6678"/>
          <w:sz w:val="21"/>
          <w:szCs w:val="21"/>
        </w:rPr>
        <w:t xml:space="preserve">Cut to an on-screen graphic of the four sensitive-data categories and which roles can see each.</w:t>
      </w:r>
    </w:p>
    <w:p>
      <w:pPr>
        <w:pStyle w:val="ListParagraph"/>
        <w:numPr>
          <w:ilvl w:val="0"/>
          <w:numId w:val="9"/>
        </w:numPr>
        <w:spacing w:after="90"/>
      </w:pPr>
      <w:r>
        <w:rPr>
          <w:rFonts w:ascii="Calibri" w:cs="Calibri" w:eastAsia="Calibri" w:hAnsi="Calibri"/>
          <w:color w:val="5C6678"/>
          <w:sz w:val="21"/>
          <w:szCs w:val="21"/>
        </w:rPr>
        <w:t xml:space="preserve">Attempt (or simulate) viewing a sensitive field as a restricted role, show the access restriction.</w:t>
      </w:r>
    </w:p>
    <w:p>
      <w:pPr>
        <w:pStyle w:val="ListParagraph"/>
        <w:numPr>
          <w:ilvl w:val="0"/>
          <w:numId w:val="9"/>
        </w:numPr>
        <w:spacing w:after="90"/>
      </w:pPr>
      <w:r>
        <w:rPr>
          <w:rFonts w:ascii="Calibri" w:cs="Calibri" w:eastAsia="Calibri" w:hAnsi="Calibri"/>
          <w:color w:val="5C6678"/>
          <w:sz w:val="21"/>
          <w:szCs w:val="21"/>
        </w:rPr>
        <w:t xml:space="preserve">Open the audit log, locate the corresponding access entry, highlight the user, timestamp, and hash-chain indicator.</w:t>
      </w:r>
    </w:p>
    <w:p>
      <w:pPr>
        <w:spacing w:after="100" w:before="220"/>
      </w:pPr>
      <w:r>
        <w:rPr>
          <w:rFonts w:ascii="Calibri" w:cs="Calibri" w:eastAsia="Calibri" w:hAnsi="Calibri"/>
          <w:b/>
          <w:bCs/>
          <w:color w:val="0E1F33"/>
          <w:sz w:val="22"/>
          <w:szCs w:val="22"/>
        </w:rPr>
        <w:t xml:space="preserve">Key Takeaways (on-screen end card)</w:t>
      </w:r>
    </w:p>
    <w:p>
      <w:pPr>
        <w:pStyle w:val="ListParagraph"/>
        <w:numPr>
          <w:ilvl w:val="0"/>
          <w:numId w:val="3"/>
        </w:numPr>
        <w:spacing w:after="90"/>
      </w:pPr>
      <w:r>
        <w:rPr>
          <w:rFonts w:ascii="Calibri" w:cs="Calibri" w:eastAsia="Calibri" w:hAnsi="Calibri"/>
          <w:color w:val="5C6678"/>
          <w:sz w:val="21"/>
          <w:szCs w:val="21"/>
        </w:rPr>
        <w:t xml:space="preserve">Chronic-disease tags are functional, not cosmetic — the renal tag actively routes a patient into specialty care.</w:t>
      </w:r>
    </w:p>
    <w:p>
      <w:pPr>
        <w:pStyle w:val="ListParagraph"/>
        <w:numPr>
          <w:ilvl w:val="0"/>
          <w:numId w:val="3"/>
        </w:numPr>
        <w:spacing w:after="90"/>
      </w:pPr>
      <w:r>
        <w:rPr>
          <w:rFonts w:ascii="Calibri" w:cs="Calibri" w:eastAsia="Calibri" w:hAnsi="Calibri"/>
          <w:color w:val="5C6678"/>
          <w:sz w:val="21"/>
          <w:szCs w:val="21"/>
        </w:rPr>
        <w:t xml:space="preserve">Capture all nine vital fields, every time, to build a genuinely useful longitudinal history.</w:t>
      </w:r>
    </w:p>
    <w:p>
      <w:pPr>
        <w:pStyle w:val="ListParagraph"/>
        <w:numPr>
          <w:ilvl w:val="0"/>
          <w:numId w:val="3"/>
        </w:numPr>
        <w:spacing w:after="90"/>
      </w:pPr>
      <w:r>
        <w:rPr>
          <w:rFonts w:ascii="Calibri" w:cs="Calibri" w:eastAsia="Calibri" w:hAnsi="Calibri"/>
          <w:color w:val="5C6678"/>
          <w:sz w:val="21"/>
          <w:szCs w:val="21"/>
        </w:rPr>
        <w:t xml:space="preserve">Critical vital thresholds trigger automatic clinician alerts — the system never waits for someone to notice.</w:t>
      </w:r>
    </w:p>
    <w:p>
      <w:pPr>
        <w:pStyle w:val="ListParagraph"/>
        <w:numPr>
          <w:ilvl w:val="0"/>
          <w:numId w:val="3"/>
        </w:numPr>
        <w:spacing w:after="90"/>
      </w:pPr>
      <w:r>
        <w:rPr>
          <w:rFonts w:ascii="Calibri" w:cs="Calibri" w:eastAsia="Calibri" w:hAnsi="Calibri"/>
          <w:color w:val="5C6678"/>
          <w:sz w:val="21"/>
          <w:szCs w:val="21"/>
        </w:rPr>
        <w:t xml:space="preserve">Sensitive data (HIV, mental health, STI, paternity) is role-gated, and every view — successful or not — is hash-chain logged.</w:t>
      </w:r>
    </w:p>
    <w:p>
      <w:pPr>
        <w:spacing w:after="100" w:before="220"/>
      </w:pPr>
      <w:r>
        <w:rPr>
          <w:rFonts w:ascii="Calibri" w:cs="Calibri" w:eastAsia="Calibri" w:hAnsi="Calibri"/>
          <w:b/>
          <w:bCs/>
          <w:color w:val="0E1F33"/>
          <w:sz w:val="22"/>
          <w:szCs w:val="22"/>
        </w:rPr>
        <w:t xml:space="preserve">Recommended Visuals</w:t>
      </w:r>
    </w:p>
    <w:p>
      <w:pPr>
        <w:pStyle w:val="ListParagraph"/>
        <w:numPr>
          <w:ilvl w:val="0"/>
          <w:numId w:val="3"/>
        </w:numPr>
        <w:spacing w:after="90"/>
      </w:pPr>
      <w:r>
        <w:rPr>
          <w:rFonts w:ascii="Calibri" w:cs="Calibri" w:eastAsia="Calibri" w:hAnsi="Calibri"/>
          <w:color w:val="5C6678"/>
          <w:sz w:val="21"/>
          <w:szCs w:val="21"/>
        </w:rPr>
        <w:t xml:space="preserve">Before/after split screen: patient record without the renal tag (no specialty module access) vs. with it (Renal &amp; Dialysis aggregated view visible).</w:t>
      </w:r>
    </w:p>
    <w:p>
      <w:pPr>
        <w:pStyle w:val="ListParagraph"/>
        <w:numPr>
          <w:ilvl w:val="0"/>
          <w:numId w:val="3"/>
        </w:numPr>
        <w:spacing w:after="90"/>
      </w:pPr>
      <w:r>
        <w:rPr>
          <w:rFonts w:ascii="Calibri" w:cs="Calibri" w:eastAsia="Calibri" w:hAnsi="Calibri"/>
          <w:color w:val="5C6678"/>
          <w:sz w:val="21"/>
          <w:szCs w:val="21"/>
        </w:rPr>
        <w:t xml:space="preserve">Simple vitals dashboard graphic highlighting the threshold ranges for each critical value.</w:t>
      </w:r>
    </w:p>
    <w:p>
      <w:pPr>
        <w:pStyle w:val="ListParagraph"/>
        <w:numPr>
          <w:ilvl w:val="0"/>
          <w:numId w:val="3"/>
        </w:numPr>
        <w:spacing w:after="90"/>
      </w:pPr>
      <w:r>
        <w:rPr>
          <w:rFonts w:ascii="Calibri" w:cs="Calibri" w:eastAsia="Calibri" w:hAnsi="Calibri"/>
          <w:color w:val="5C6678"/>
          <w:sz w:val="21"/>
          <w:szCs w:val="21"/>
        </w:rPr>
        <w:t xml:space="preserve">Four-category sensitive-data graphic with role icons next to each (matching the four-channel support graphic style from Module 1 for visual consistency).</w:t>
      </w:r>
    </w:p>
    <w:p>
      <w:pPr>
        <w:pStyle w:val="ListParagraph"/>
        <w:numPr>
          <w:ilvl w:val="0"/>
          <w:numId w:val="3"/>
        </w:numPr>
        <w:spacing w:after="90"/>
      </w:pPr>
      <w:r>
        <w:rPr>
          <w:rFonts w:ascii="Calibri" w:cs="Calibri" w:eastAsia="Calibri" w:hAnsi="Calibri"/>
          <w:color w:val="5C6678"/>
          <w:sz w:val="21"/>
          <w:szCs w:val="21"/>
        </w:rPr>
        <w:t xml:space="preserve">Audit log entry close-up with the hash-chain element visually called out.</w:t>
      </w:r>
    </w:p>
    <w:p>
      <w:r>
        <w:br w:type="page"/>
      </w:r>
    </w:p>
    <w:p>
      <w:pPr>
        <w:spacing w:after="60"/>
      </w:pPr>
      <w:r>
        <w:rPr>
          <w:rFonts w:ascii="Calibri" w:cs="Calibri" w:eastAsia="Calibri" w:hAnsi="Calibri"/>
          <w:b/>
          <w:bCs/>
          <w:color w:val="A8552E"/>
          <w:spacing w:val="14"/>
          <w:sz w:val="17"/>
          <w:szCs w:val="17"/>
        </w:rPr>
        <w:t xml:space="preserve">MODULE 2</w:t>
      </w:r>
    </w:p>
    <w:p>
      <w:pPr>
        <w:pStyle w:val="Heading1"/>
      </w:pPr>
      <w:r>
        <w:rPr>
          <w:rFonts w:ascii="Calibri" w:cs="Calibri" w:eastAsia="Calibri" w:hAnsi="Calibri"/>
        </w:rPr>
        <w:t xml:space="preserve">Module Assessment Criteria</w:t>
      </w:r>
    </w:p>
    <w:p>
      <w:pPr>
        <w:spacing w:after="200"/>
      </w:pPr>
      <w:r>
        <w:rPr>
          <w:rFonts w:ascii="Calibri" w:cs="Calibri" w:eastAsia="Calibri" w:hAnsi="Calibri"/>
          <w:color w:val="5C6678"/>
          <w:sz w:val="23"/>
          <w:szCs w:val="23"/>
        </w:rPr>
        <w:t xml:space="preserve">Module 2 assessment confirms a learner can register a patient with genuine understanding of downstream consequences, correctly resolve a duplicate, and apply the clinical-context features (tags, vitals, sensitive-data access) appropriately — not merely complete the data-entry motions.</w:t>
      </w:r>
    </w:p>
    <w:p>
      <w:pPr>
        <w:spacing w:after="80"/>
      </w:pPr>
    </w:p>
    <w:p>
      <w:pPr>
        <w:pStyle w:val="Heading2"/>
      </w:pPr>
      <w:r>
        <w:rPr>
          <w:rFonts w:ascii="Calibri" w:cs="Calibri" w:eastAsia="Calibri" w:hAnsi="Calibri"/>
        </w:rPr>
        <w:t xml:space="preserve">Assessment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KNOWLEDGE CHECKS</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9 questions total (3 per lesson) — minimum 80% correct to pass</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PRACTICAL TASK</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Complete Exercise 2.3 (tag, vitals, and access-control test) unaided in a sandbox environment</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REFLECTIVE COMPONENT</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Written response: "Describe a registration or record-keeping habit from this module that you would now actively avoid, and explain the downstream risk it creates if skipped."</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PASSING THRESHOLD</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80%+ on knowledge checks, full completion of the practical task, and a reflective response demonstrating genuine conceptual understanding (instructor- or rubric-assessed for self-paced delivery)</w:t>
            </w:r>
          </w:p>
        </w:tc>
      </w:tr>
      <w:tr>
        <w:tc>
          <w:tcPr>
            <w:tcW w:type="dxa" w:w="2700"/>
            <w:tcBorders>
              <w:top w:val="single" w:color="D8DCE2" w:sz="4"/>
              <w:left w:val="single" w:color="D8DCE2" w:sz="4"/>
              <w:bottom w:val="single" w:color="D8DCE2" w:sz="4"/>
              <w:right w:val="single" w:color="D8DCE2" w:sz="4"/>
            </w:tcBorders>
            <w:shd w:fill="F7F5F0" w:val="clear"/>
            <w:tcMar>
              <w:top w:type="dxa" w:w="100"/>
              <w:left w:type="dxa" w:w="160"/>
              <w:bottom w:type="dxa" w:w="100"/>
              <w:right w:type="dxa" w:w="120"/>
            </w:tcMar>
            <w:vAlign w:val="center"/>
          </w:tcPr>
          <w:p>
            <w:r>
              <w:rPr>
                <w:rFonts w:ascii="Calibri" w:cs="Calibri" w:eastAsia="Calibri" w:hAnsi="Calibri"/>
                <w:b/>
                <w:bCs/>
                <w:color w:val="0E1F33"/>
                <w:spacing w:val="8"/>
                <w:sz w:val="17"/>
                <w:szCs w:val="17"/>
              </w:rPr>
              <w:t xml:space="preserve">RETAKE POLICY</w:t>
            </w:r>
          </w:p>
        </w:tc>
        <w:tc>
          <w:tcPr>
            <w:tcW w:type="dxa" w:w="7020"/>
            <w:tcBorders>
              <w:top w:val="single" w:color="D8DCE2" w:sz="4"/>
              <w:left w:val="single" w:color="D8DCE2" w:sz="4"/>
              <w:bottom w:val="single" w:color="D8DCE2" w:sz="4"/>
              <w:right w:val="single" w:color="D8DCE2" w:sz="4"/>
            </w:tcBorders>
            <w:tcMar>
              <w:top w:type="dxa" w:w="100"/>
              <w:left w:type="dxa" w:w="160"/>
              <w:bottom w:type="dxa" w:w="100"/>
              <w:right w:type="dxa" w:w="160"/>
            </w:tcMar>
            <w:vAlign w:val="center"/>
          </w:tcPr>
          <w:p>
            <w:r>
              <w:rPr>
                <w:rFonts w:ascii="Calibri" w:cs="Calibri" w:eastAsia="Calibri" w:hAnsi="Calibri"/>
                <w:color w:val="5C6678"/>
                <w:sz w:val="21"/>
                <w:szCs w:val="21"/>
              </w:rPr>
              <w:t xml:space="preserve">Unlimited retakes on knowledge checks; practical task may be reattempted after instructor or automated feedback</w:t>
            </w:r>
          </w:p>
        </w:tc>
      </w:tr>
    </w:tbl>
    <w:p>
      <w:pPr>
        <w:spacing w:after="200"/>
      </w:pPr>
    </w:p>
    <w:p>
      <w:pPr>
        <w:pStyle w:val="Heading2"/>
      </w:pPr>
      <w:r>
        <w:rPr>
          <w:rFonts w:ascii="Calibri" w:cs="Calibri" w:eastAsia="Calibri" w:hAnsi="Calibri"/>
        </w:rPr>
        <w:t xml:space="preserve">What This Module Feeds Into</w:t>
      </w:r>
    </w:p>
    <w:p>
      <w:pPr>
        <w:spacing w:after="160"/>
      </w:pPr>
      <w:r>
        <w:rPr>
          <w:rFonts w:ascii="Calibri" w:cs="Calibri" w:eastAsia="Calibri" w:hAnsi="Calibri"/>
          <w:color w:val="5C6678"/>
          <w:sz w:val="21"/>
          <w:szCs w:val="21"/>
        </w:rPr>
        <w:t xml:space="preserve">Module 2 establishes the patient record as the foundation every later module depends on. Module 3 (The Standard Test Request Workflow) picks up immediately where Lesson 1.3's quick walkthrough left off, going deep into ordering, sample collection, results, and report release — and assumes the patient record feeding into that workflow was captured with the discipline taught here. Module 5 (Billing &amp; Payments) directly depends on the NHIS/HMO policy numbers and other optional fields captured at registration; a learner who skipped them in Module 2 will feel that gap concretely once they reach billing. Module 11 (Compliance &amp; Security) returns to the sensitive-data access model and hash-chained audit log introduced in Lesson 2.3 and examines it in far greater depth, including NDPR obligations this module deliberately did not cover.</w:t>
      </w:r>
    </w:p>
    <w:sectPr>
      <w:headerReference w:type="default" r:id="rId7"/>
      <w:headerReference w:type="first" r:id="rId8"/>
      <w:footerReference w:type="default" r:id="rId9"/>
      <w:footerReference w:type="first" r:id="rId10"/>
      <w:pgSz w:w="12240" w:h="15840" w:orient="portrait"/>
      <w:pgMar w:top="1440" w:right="1260" w:bottom="144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2" w:sz="4" w:space="6"/>
      </w:pBdr>
      <w:tabs>
        <w:tab w:val="right" w:pos="9026"/>
      </w:tabs>
    </w:pPr>
    <w:r>
      <w:rPr>
        <w:rFonts w:ascii="Calibri" w:cs="Calibri" w:eastAsia="Calibri" w:hAnsi="Calibri"/>
        <w:color w:val="8C95A6"/>
        <w:sz w:val="15"/>
        <w:szCs w:val="15"/>
      </w:rPr>
      <w:t xml:space="preserve">AgoroX Academy — CLA Module 2: Patient Registration &amp; Records</w:t>
    </w:r>
    <w:r>
      <w:rPr>
        <w:rFonts w:ascii="Calibri" w:cs="Calibri" w:eastAsia="Calibri" w:hAnsi="Calibri"/>
        <w:color w:val="8C95A6"/>
        <w:sz w:val="15"/>
        <w:szCs w:val="15"/>
      </w:rPr>
      <w:t xml:space="preserve">	Page </w:t>
    </w:r>
    <w:r>
      <w:rPr>
        <w:rFonts w:ascii="Calibri" w:cs="Calibri" w:eastAsia="Calibri" w:hAnsi="Calibri"/>
        <w:color w:val="8C95A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A8552E"/>
      </w:r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C667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E1F33"/>
      <w:sz w:val="34"/>
      <w:szCs w:val="34"/>
    </w:rPr>
  </w:style>
  <w:style w:type="paragraph" w:styleId="Heading2">
    <w:name w:val="Heading 2"/>
    <w:basedOn w:val="Normal"/>
    <w:next w:val="Normal"/>
    <w:qFormat/>
    <w:pPr>
      <w:pBdr>
        <w:bottom w:val="single" w:color="D8DCE2" w:sz="4" w:space="6"/>
      </w:pBdr>
      <w:spacing w:after="130" w:before="300"/>
      <w:outlineLvl w:val="1"/>
    </w:pPr>
    <w:rPr>
      <w:rFonts w:ascii="Calibri" w:cs="Calibri" w:eastAsia="Calibri" w:hAnsi="Calibri"/>
      <w:b/>
      <w:bCs/>
      <w:color w:val="0E1F33"/>
      <w:sz w:val="25"/>
      <w:szCs w:val="25"/>
    </w:rPr>
  </w:style>
  <w:style w:type="paragraph" w:styleId="Heading3">
    <w:name w:val="Heading 3"/>
    <w:basedOn w:val="Normal"/>
    <w:next w:val="Normal"/>
    <w:qFormat/>
    <w:pPr>
      <w:spacing w:after="100" w:before="200"/>
      <w:outlineLvl w:val="2"/>
    </w:pPr>
    <w:rPr>
      <w:rFonts w:ascii="Calibri" w:cs="Calibri" w:eastAsia="Calibri" w:hAnsi="Calibri"/>
      <w:b/>
      <w:bCs/>
      <w:color w:val="0E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1ed13b30616d36706c0fb81e1122c8695ac1aa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2026-06-21T18:07:29.027Z</dcterms:created>
  <dcterms:modified xsi:type="dcterms:W3CDTF">2026-06-21T18:07:29.028Z</dcterms:modified>
</cp:coreProperties>
</file>

<file path=docProps/custom.xml><?xml version="1.0" encoding="utf-8"?>
<Properties xmlns="http://schemas.openxmlformats.org/officeDocument/2006/custom-properties" xmlns:vt="http://schemas.openxmlformats.org/officeDocument/2006/docPropsVTypes"/>
</file>