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3 — The Standard Test Request Workflow</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3 OF 11 · LABOS ESSENTIALS (LEVEL 1)</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3 is the third and final module of Level 1, built from six Help &amp; Documentation articles in the LabOS "Test Workflow" category — specifically the standard, happy-path journey a request takes when nothing goes wrong. The exceptions to this path — critical-result handling, reruns, rejections, turnaround-time management, and bulk operations — are deliberately reserved for Module 7 in Level 3, once the standard path is second nature.</w:t>
      </w:r>
    </w:p>
    <w:p>
      <w:pPr>
        <w:spacing w:after="160"/>
      </w:pPr>
      <w:r>
        <w:rPr>
          <w:rFonts w:ascii="Calibri" w:cs="Calibri" w:eastAsia="Calibri" w:hAnsi="Calibri"/>
          <w:color w:val="5C6678"/>
          <w:sz w:val="21"/>
          <w:szCs w:val="21"/>
        </w:rPr>
        <w:t xml:space="preserve">Module 1's first-day walkthrough showed you this journey once, quickly, as an orientation. This module returns to the same five visible stages — request, collection, results, validation, release — and goes deep into each one: not just the click path, but the clinical and legal reasoning behind why each stage exists in the order it does, and what a competent administrator needs to understand to support staff working at every stage of it.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1 — LabOS Essentials, Module 3 of 3 in this level (final module before Level 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6 Help &amp; Documentation articles (wf-1, wf-3, wf-4, wf-5, wf-6, wf-8),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75–95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2 — Patient Registration &amp; Records</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Every other clinical feature in LabOS is a variation on this same seven-stage pipeline — the Renal &amp; Dialysis module runs it for dialysis sessions, Histopathology runs a version of it for tissue specimens, Molecular runs it for PCR orders. An administrator who deeply understands the standard workflow in this module will recognise the same underlying logic everywhere else in the system; one who only memorises this module's specific screens will have to re-learn the pattern from scratch in every specialty module that follows. This module is therefore not just about ordering tests — it is about internalising the shape of clinical laboratory work itself, the same way Module 1 built a mental model of the system as a whole.</w:t>
      </w:r>
    </w:p>
    <w:p>
      <w:r>
        <w:br w:type="page"/>
      </w:r>
    </w:p>
    <w:p>
      <w:pPr>
        <w:spacing w:after="60"/>
      </w:pPr>
      <w:r>
        <w:rPr>
          <w:rFonts w:ascii="Calibri" w:cs="Calibri" w:eastAsia="Calibri" w:hAnsi="Calibri"/>
          <w:b/>
          <w:bCs/>
          <w:color w:val="A8552E"/>
          <w:spacing w:val="14"/>
          <w:sz w:val="17"/>
          <w:szCs w:val="17"/>
        </w:rPr>
        <w:t xml:space="preserve">MODULE 3</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3,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Recite and explain all seven stages of the LabOS test request workflow — Drafted, Awaiting payment, Sample pending, Sample collected, In progress, Awaiting validation, Released — and what triggers the transition between each.</w:t>
      </w:r>
    </w:p>
    <w:p>
      <w:pPr>
        <w:pStyle w:val="ListParagraph"/>
        <w:numPr>
          <w:ilvl w:val="0"/>
          <w:numId w:val="2"/>
        </w:numPr>
        <w:spacing w:after="90"/>
      </w:pPr>
      <w:r>
        <w:rPr>
          <w:rFonts w:ascii="Calibri" w:cs="Calibri" w:eastAsia="Calibri" w:hAnsi="Calibri"/>
          <w:color w:val="5C6678"/>
          <w:sz w:val="21"/>
          <w:szCs w:val="21"/>
        </w:rPr>
        <w:t xml:space="preserve">Create a test request using the new-request modal, applying common-panel chips correctly and choosing the appropriate priority level with an understanding of its cost and queue implications.</w:t>
      </w:r>
    </w:p>
    <w:p>
      <w:pPr>
        <w:pStyle w:val="ListParagraph"/>
        <w:numPr>
          <w:ilvl w:val="0"/>
          <w:numId w:val="2"/>
        </w:numPr>
        <w:spacing w:after="90"/>
      </w:pPr>
      <w:r>
        <w:rPr>
          <w:rFonts w:ascii="Calibri" w:cs="Calibri" w:eastAsia="Calibri" w:hAnsi="Calibri"/>
          <w:color w:val="5C6678"/>
          <w:sz w:val="21"/>
          <w:szCs w:val="21"/>
        </w:rPr>
        <w:t xml:space="preserve">Explain the difference between Routine, Urgent, and STAT priority in both fee and clinical-queue terms, and choose correctly between them.</w:t>
      </w:r>
    </w:p>
    <w:p>
      <w:pPr>
        <w:pStyle w:val="ListParagraph"/>
        <w:numPr>
          <w:ilvl w:val="0"/>
          <w:numId w:val="2"/>
        </w:numPr>
        <w:spacing w:after="90"/>
      </w:pPr>
      <w:r>
        <w:rPr>
          <w:rFonts w:ascii="Calibri" w:cs="Calibri" w:eastAsia="Calibri" w:hAnsi="Calibri"/>
          <w:color w:val="5C6678"/>
          <w:sz w:val="21"/>
          <w:szCs w:val="21"/>
        </w:rPr>
        <w:t xml:space="preserve">Perform the phlebotomy chain-of-custody process correctly, including patient identification, barcode scanning, and condition-note capture.</w:t>
      </w:r>
    </w:p>
    <w:p>
      <w:pPr>
        <w:pStyle w:val="ListParagraph"/>
        <w:numPr>
          <w:ilvl w:val="0"/>
          <w:numId w:val="2"/>
        </w:numPr>
        <w:spacing w:after="90"/>
      </w:pPr>
      <w:r>
        <w:rPr>
          <w:rFonts w:ascii="Calibri" w:cs="Calibri" w:eastAsia="Calibri" w:hAnsi="Calibri"/>
          <w:color w:val="5C6678"/>
          <w:sz w:val="21"/>
          <w:szCs w:val="21"/>
        </w:rPr>
        <w:t xml:space="preserve">Identify when a sample requires legal-grade chain-of-custody handling and what additional steps that requires.</w:t>
      </w:r>
    </w:p>
    <w:p>
      <w:pPr>
        <w:pStyle w:val="ListParagraph"/>
        <w:numPr>
          <w:ilvl w:val="0"/>
          <w:numId w:val="2"/>
        </w:numPr>
        <w:spacing w:after="90"/>
      </w:pPr>
      <w:r>
        <w:rPr>
          <w:rFonts w:ascii="Calibri" w:cs="Calibri" w:eastAsia="Calibri" w:hAnsi="Calibri"/>
          <w:color w:val="5C6678"/>
          <w:sz w:val="21"/>
          <w:szCs w:val="21"/>
        </w:rPr>
        <w:t xml:space="preserve">Enter numerical results and correctly interpret LabOS's four-tier flagging system (Normal, H/L, HH/LL, CRIT).</w:t>
      </w:r>
    </w:p>
    <w:p>
      <w:pPr>
        <w:pStyle w:val="ListParagraph"/>
        <w:numPr>
          <w:ilvl w:val="0"/>
          <w:numId w:val="2"/>
        </w:numPr>
        <w:spacing w:after="90"/>
      </w:pPr>
      <w:r>
        <w:rPr>
          <w:rFonts w:ascii="Calibri" w:cs="Calibri" w:eastAsia="Calibri" w:hAnsi="Calibri"/>
          <w:color w:val="5C6678"/>
          <w:sz w:val="21"/>
          <w:szCs w:val="21"/>
        </w:rPr>
        <w:t xml:space="preserve">Respond appropriately to a delta-check warning rather than dismissing it as a system error.</w:t>
      </w:r>
    </w:p>
    <w:p>
      <w:pPr>
        <w:pStyle w:val="ListParagraph"/>
        <w:numPr>
          <w:ilvl w:val="0"/>
          <w:numId w:val="2"/>
        </w:numPr>
        <w:spacing w:after="90"/>
      </w:pPr>
      <w:r>
        <w:rPr>
          <w:rFonts w:ascii="Calibri" w:cs="Calibri" w:eastAsia="Calibri" w:hAnsi="Calibri"/>
          <w:color w:val="5C6678"/>
          <w:sz w:val="21"/>
          <w:szCs w:val="21"/>
        </w:rPr>
        <w:t xml:space="preserve">Explain why two-person validation exists, who is permitted to validate, and what the validator is actually being asked to judge.</w:t>
      </w:r>
    </w:p>
    <w:p>
      <w:pPr>
        <w:pStyle w:val="ListParagraph"/>
        <w:numPr>
          <w:ilvl w:val="0"/>
          <w:numId w:val="2"/>
        </w:numPr>
        <w:spacing w:after="90"/>
      </w:pPr>
      <w:r>
        <w:rPr>
          <w:rFonts w:ascii="Calibri" w:cs="Calibri" w:eastAsia="Calibri" w:hAnsi="Calibri"/>
          <w:color w:val="5C6678"/>
          <w:sz w:val="21"/>
          <w:szCs w:val="21"/>
        </w:rPr>
        <w:t xml:space="preserve">Release a report correctly, choose appropriate delivery channels based on patient consent, and issue a correct amendment if a released report needs correction.</w:t>
      </w:r>
    </w:p>
    <w:p>
      <w:r>
        <w:br w:type="page"/>
      </w:r>
    </w:p>
    <w:p>
      <w:pPr>
        <w:spacing w:after="60"/>
      </w:pPr>
      <w:r>
        <w:rPr>
          <w:rFonts w:ascii="Calibri" w:cs="Calibri" w:eastAsia="Calibri" w:hAnsi="Calibri"/>
          <w:b/>
          <w:bCs/>
          <w:color w:val="A8552E"/>
          <w:spacing w:val="14"/>
          <w:sz w:val="17"/>
          <w:szCs w:val="17"/>
        </w:rPr>
        <w:t xml:space="preserve">MODULE 3</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all three lessons in this module, and form the conceptual backbone every specialty workflow module later in the program assumes you already understand.</w:t>
      </w:r>
    </w:p>
    <w:p>
      <w:pPr>
        <w:spacing w:after="80"/>
      </w:pPr>
    </w:p>
    <w:p>
      <w:pPr>
        <w:spacing w:after="100" w:before="220"/>
      </w:pPr>
      <w:r>
        <w:rPr>
          <w:rFonts w:ascii="Calibri" w:cs="Calibri" w:eastAsia="Calibri" w:hAnsi="Calibri"/>
          <w:b/>
          <w:bCs/>
          <w:color w:val="0E1F33"/>
          <w:sz w:val="22"/>
          <w:szCs w:val="22"/>
        </w:rPr>
        <w:t xml:space="preserve">Concept: A status is a gate, not a label</w:t>
      </w:r>
    </w:p>
    <w:p>
      <w:pPr>
        <w:spacing w:after="160"/>
      </w:pPr>
      <w:r>
        <w:rPr>
          <w:rFonts w:ascii="Calibri" w:cs="Calibri" w:eastAsia="Calibri" w:hAnsi="Calibri"/>
          <w:color w:val="5C6678"/>
          <w:sz w:val="21"/>
          <w:szCs w:val="21"/>
        </w:rPr>
        <w:t xml:space="preserve">It's tempting to read the seven stages — Drafted, Awaiting payment, Sample pending, and so on — as a progress label, the way a parcel-tracking page shows you where a delivery currently is. In LabOS, a status is something stronger: it is a gate that determines what actions are even possible right now. A request Awaiting payment cannot be collected by phlebotomy; a result Awaiting validation cannot be released; a report that has been Released cannot be silently edited. Understanding status as a gate rather than a label is what makes the rest of this module make sense — every stage transition you'll learn is really a description of what permission has just been granted or removed.</w:t>
      </w:r>
    </w:p>
    <w:p>
      <w:pPr>
        <w:spacing w:after="100" w:before="220"/>
      </w:pPr>
      <w:r>
        <w:rPr>
          <w:rFonts w:ascii="Calibri" w:cs="Calibri" w:eastAsia="Calibri" w:hAnsi="Calibri"/>
          <w:b/>
          <w:bCs/>
          <w:color w:val="0E1F33"/>
          <w:sz w:val="22"/>
          <w:szCs w:val="22"/>
        </w:rPr>
        <w:t xml:space="preserve">Concept: Every handoff exists because no single person should certify their own work</w:t>
      </w:r>
    </w:p>
    <w:p>
      <w:pPr>
        <w:spacing w:after="160"/>
      </w:pPr>
      <w:r>
        <w:rPr>
          <w:rFonts w:ascii="Calibri" w:cs="Calibri" w:eastAsia="Calibri" w:hAnsi="Calibri"/>
          <w:color w:val="5C6678"/>
          <w:sz w:val="21"/>
          <w:szCs w:val="21"/>
        </w:rPr>
        <w:t xml:space="preserve">The same separation-of-duties principle from Module 1's role discussion reappears here as a workflow design, not just a permissions table. The person who draws a sample is not the person who analyses it. The person who enters a result is not the person who validates it. The person who validates is not automatically the person who releases it. Each handoff is a deliberate checkpoint — and recognising this pattern is what allows you, as a future administrator, to explain confidently to staff why a particular step "can't just be skipped this once," even under real time pressure.</w:t>
      </w:r>
    </w:p>
    <w:p>
      <w:pPr>
        <w:spacing w:after="100" w:before="220"/>
      </w:pPr>
      <w:r>
        <w:rPr>
          <w:rFonts w:ascii="Calibri" w:cs="Calibri" w:eastAsia="Calibri" w:hAnsi="Calibri"/>
          <w:b/>
          <w:bCs/>
          <w:color w:val="0E1F33"/>
          <w:sz w:val="22"/>
          <w:szCs w:val="22"/>
        </w:rPr>
        <w:t xml:space="preserve">Concept: Priority is a clinical and financial lever, not just a sorting option</w:t>
      </w:r>
    </w:p>
    <w:p>
      <w:pPr>
        <w:spacing w:after="160"/>
      </w:pPr>
      <w:r>
        <w:rPr>
          <w:rFonts w:ascii="Calibri" w:cs="Calibri" w:eastAsia="Calibri" w:hAnsi="Calibri"/>
          <w:color w:val="5C6678"/>
          <w:sz w:val="21"/>
          <w:szCs w:val="21"/>
        </w:rPr>
        <w:t xml:space="preserve">Choosing Urgent or STAT priority is not simply a way to make a request appear faster in a queue — it carries a real fee premium (+50% and +100% respectively) and, for STAT specifically, actively displaces other patients' samples in the processing order. A competent administrator understands priority as a lever with real consequences on both the patient's bill and other patients' turnaround time, not a free convenience to apply liberally.</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Treat every stage transition as a deliberate, gated event — never look for a way to "skip ahead" in the workflow, even when you're confident about the outcome.</w:t>
            </w:r>
          </w:p>
          <w:p>
            <w:pPr>
              <w:pStyle w:val="ListParagraph"/>
              <w:numPr>
                <w:ilvl w:val="0"/>
                <w:numId w:val="3"/>
              </w:numPr>
              <w:spacing w:after="70"/>
            </w:pPr>
            <w:r>
              <w:rPr>
                <w:rFonts w:ascii="Calibri" w:cs="Calibri" w:eastAsia="Calibri" w:hAnsi="Calibri"/>
                <w:color w:val="5C6678"/>
                <w:sz w:val="20"/>
                <w:szCs w:val="20"/>
              </w:rPr>
              <w:t xml:space="preserve">Default to Routine priority unless there is a genuine clinical reason for Urgent or STAT — remember that STAT actively displaces other patients' samples, not just your own request.</w:t>
            </w:r>
          </w:p>
          <w:p>
            <w:pPr>
              <w:pStyle w:val="ListParagraph"/>
              <w:numPr>
                <w:ilvl w:val="0"/>
                <w:numId w:val="3"/>
              </w:numPr>
              <w:spacing w:after="70"/>
            </w:pPr>
            <w:r>
              <w:rPr>
                <w:rFonts w:ascii="Calibri" w:cs="Calibri" w:eastAsia="Calibri" w:hAnsi="Calibri"/>
                <w:color w:val="5C6678"/>
                <w:sz w:val="20"/>
                <w:szCs w:val="20"/>
              </w:rPr>
              <w:t xml:space="preserve">When training new phlebotomy staff, emphasise the patient identification read-back (name + DOB) as non-negotiable, every single time, regardless of how well the patient is known to staff.</w:t>
            </w:r>
          </w:p>
          <w:p>
            <w:pPr>
              <w:pStyle w:val="ListParagraph"/>
              <w:numPr>
                <w:ilvl w:val="0"/>
                <w:numId w:val="3"/>
              </w:numPr>
              <w:spacing w:after="70"/>
            </w:pPr>
            <w:r>
              <w:rPr>
                <w:rFonts w:ascii="Calibri" w:cs="Calibri" w:eastAsia="Calibri" w:hAnsi="Calibri"/>
                <w:color w:val="5C6678"/>
                <w:sz w:val="20"/>
                <w:szCs w:val="20"/>
              </w:rPr>
              <w:t xml:space="preserve">Treat a delta-check warning as a prompt to think, not an obstacle to dismiss — it exists because a 30%+ change from a recent result is statistically unusual enough to deserve a second look before saving.</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New staff treating STAT as the default "make it fast" option without understanding the fee implication or the queue-displacement effect on other patients.</w:t>
            </w:r>
          </w:p>
          <w:p>
            <w:pPr>
              <w:pStyle w:val="ListParagraph"/>
              <w:numPr>
                <w:ilvl w:val="0"/>
                <w:numId w:val="3"/>
              </w:numPr>
              <w:spacing w:after="70"/>
            </w:pPr>
            <w:r>
              <w:rPr>
                <w:rFonts w:ascii="Calibri" w:cs="Calibri" w:eastAsia="Calibri" w:hAnsi="Calibri"/>
                <w:color w:val="5C6678"/>
                <w:sz w:val="20"/>
                <w:szCs w:val="20"/>
              </w:rPr>
              <w:t xml:space="preserve">Skipping or rushing the patient identification read-back during sample collection because the patient is a familiar, regular visitor — exactly the situation where complacency is most likely to cause a misidentified sample.</w:t>
            </w:r>
          </w:p>
          <w:p>
            <w:pPr>
              <w:pStyle w:val="ListParagraph"/>
              <w:numPr>
                <w:ilvl w:val="0"/>
                <w:numId w:val="3"/>
              </w:numPr>
              <w:spacing w:after="70"/>
            </w:pPr>
            <w:r>
              <w:rPr>
                <w:rFonts w:ascii="Calibri" w:cs="Calibri" w:eastAsia="Calibri" w:hAnsi="Calibri"/>
                <w:color w:val="5C6678"/>
                <w:sz w:val="20"/>
                <w:szCs w:val="20"/>
              </w:rPr>
              <w:t xml:space="preserve">Dismissing a delta-check warning reflexively, without considering whether there is a genuine clinical explanation for the change versus a possible entry or sample error.</w:t>
            </w:r>
          </w:p>
          <w:p>
            <w:pPr>
              <w:pStyle w:val="ListParagraph"/>
              <w:numPr>
                <w:ilvl w:val="0"/>
                <w:numId w:val="3"/>
              </w:numPr>
              <w:spacing w:after="70"/>
            </w:pPr>
            <w:r>
              <w:rPr>
                <w:rFonts w:ascii="Calibri" w:cs="Calibri" w:eastAsia="Calibri" w:hAnsi="Calibri"/>
                <w:color w:val="5C6678"/>
                <w:sz w:val="20"/>
                <w:szCs w:val="20"/>
              </w:rPr>
              <w:t xml:space="preserve">Assuming any staff member can validate any result — validation has a role floor (MED_LAB_SCIENTIST or above) and the original entry-person can never validate their own work, no exceptions.</w:t>
            </w:r>
          </w:p>
        </w:tc>
      </w:tr>
    </w:tbl>
    <w:p>
      <w:r>
        <w:br w:type="page"/>
      </w:r>
    </w:p>
    <w:p>
      <w:pPr>
        <w:spacing w:after="60"/>
      </w:pPr>
      <w:r>
        <w:rPr>
          <w:rFonts w:ascii="Calibri" w:cs="Calibri" w:eastAsia="Calibri" w:hAnsi="Calibri"/>
          <w:b/>
          <w:bCs/>
          <w:color w:val="A8552E"/>
          <w:spacing w:val="14"/>
          <w:sz w:val="17"/>
          <w:szCs w:val="17"/>
        </w:rPr>
        <w:t xml:space="preserve">LESSON 3.1</w:t>
      </w:r>
    </w:p>
    <w:p>
      <w:pPr>
        <w:pStyle w:val="Heading1"/>
      </w:pPr>
      <w:r>
        <w:rPr>
          <w:rFonts w:ascii="Calibri" w:cs="Calibri" w:eastAsia="Calibri" w:hAnsi="Calibri"/>
        </w:rPr>
        <w:t xml:space="preserve">Understanding the Seven Stages Before You Touch a Screen</w:t>
      </w:r>
    </w:p>
    <w:p>
      <w:pPr>
        <w:spacing w:after="200"/>
      </w:pPr>
      <w:r>
        <w:rPr>
          <w:rFonts w:ascii="Calibri" w:cs="Calibri" w:eastAsia="Calibri" w:hAnsi="Calibri"/>
          <w:color w:val="5C6678"/>
          <w:sz w:val="23"/>
          <w:szCs w:val="23"/>
        </w:rPr>
        <w:t xml:space="preserve">This lesson is deliberately screen-free for its first half. Before clicking anything, a learner needs the seven-stage pipeline as a mental model they could recite and explain to someone else — because every later lesson in this module, and every specialty workflow in the rest of the program, assumes this model is already solid.</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teaches the seven-stage test request workflow as a complete system, before any individual stage is practiced hands-on in Lessons 3.2 and 3.3. By the end, a learner should be able to name all seven stages in order, explain what specifically triggers the move from one to the next, and understand why LabOS tracks turnaround time at the level of individual stages rather than just start-to-finish.</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In a paper-based laboratory, a request's "status" lived in someone's head, or at best in a handwritten log that was only as current as the last time someone remembered to update it. There was no reliable way to answer, at 2pm on a Tuesday, the simple operational question every laboratory manager actually needs answered constantly: where exactly is this sample right now, and how long has it been there? LabOS's seven-stage model exists to make that question answerable instantly, for every request, all the time — and to make the answer trustworthy enough to act on, because the stage only changes when a specific, accountable action has actually happened, not when someone remembers to update a log.</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seven workflow stages in order: Drafted, Awaiting payment, Sample pending, Sample collected, In progress, Awaiting validation, Released.</w:t>
      </w:r>
    </w:p>
    <w:p>
      <w:pPr>
        <w:pStyle w:val="ListParagraph"/>
        <w:numPr>
          <w:ilvl w:val="0"/>
          <w:numId w:val="3"/>
        </w:numPr>
        <w:spacing w:after="90"/>
      </w:pPr>
      <w:r>
        <w:rPr>
          <w:rFonts w:ascii="Calibri" w:cs="Calibri" w:eastAsia="Calibri" w:hAnsi="Calibri"/>
          <w:color w:val="5C6678"/>
          <w:sz w:val="21"/>
          <w:szCs w:val="21"/>
        </w:rPr>
        <w:t xml:space="preserve">What specifically triggers each stage transition.</w:t>
      </w:r>
    </w:p>
    <w:p>
      <w:pPr>
        <w:pStyle w:val="ListParagraph"/>
        <w:numPr>
          <w:ilvl w:val="0"/>
          <w:numId w:val="3"/>
        </w:numPr>
        <w:spacing w:after="90"/>
      </w:pPr>
      <w:r>
        <w:rPr>
          <w:rFonts w:ascii="Calibri" w:cs="Calibri" w:eastAsia="Calibri" w:hAnsi="Calibri"/>
          <w:color w:val="5C6678"/>
          <w:sz w:val="21"/>
          <w:szCs w:val="21"/>
        </w:rPr>
        <w:t xml:space="preserve">The Dashboard turnaround-time widget and how it tracks median time per stage.</w:t>
      </w:r>
    </w:p>
    <w:p>
      <w:pPr>
        <w:pStyle w:val="ListParagraph"/>
        <w:numPr>
          <w:ilvl w:val="0"/>
          <w:numId w:val="3"/>
        </w:numPr>
        <w:spacing w:after="90"/>
      </w:pPr>
      <w:r>
        <w:rPr>
          <w:rFonts w:ascii="Calibri" w:cs="Calibri" w:eastAsia="Calibri" w:hAnsi="Calibri"/>
          <w:color w:val="5C6678"/>
          <w:sz w:val="21"/>
          <w:szCs w:val="21"/>
        </w:rPr>
        <w:t xml:space="preserve">How the Analytics page flags a test category as a bottleneck when it consistently overshoots its target turnaround time.</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Walking the seven stages as a single story</w:t>
      </w:r>
    </w:p>
    <w:p>
      <w:pPr>
        <w:spacing w:after="160"/>
      </w:pPr>
      <w:r>
        <w:rPr>
          <w:rFonts w:ascii="Calibri" w:cs="Calibri" w:eastAsia="Calibri" w:hAnsi="Calibri"/>
          <w:color w:val="5C6678"/>
          <w:sz w:val="21"/>
          <w:szCs w:val="21"/>
        </w:rPr>
        <w:t xml:space="preserve">A request begins as Drafted — created by front-desk, but not yet billed, meaning nothing has financially or clinically committed yet. It moves to Awaiting payment once an invoice is raised and the patient is at the cashier; this is a financial gate, not a clinical one. Once paid, it becomes Sample pending and is routed to phlebotomy — this is the first moment the clinical side of the journey actually begins. Sample collected follows once tubes are drawn, labelled, and en route to the bench; note that this stage requires a physical, accountable action (drawing blood), not just an administrative one. In progress means analysis is genuinely underway by a medical laboratory scientist. Awaiting validation means results have been entered but are explicitly pending a second, independent person's review — this is the handoff discussed in this module's Key Concepts. Finally, Released means a pathologist has signed off and the report has been delivered to the patient or referring clinician.</w:t>
      </w:r>
    </w:p>
    <w:p>
      <w:pPr>
        <w:spacing w:after="100" w:before="220"/>
      </w:pPr>
      <w:r>
        <w:rPr>
          <w:rFonts w:ascii="Calibri" w:cs="Calibri" w:eastAsia="Calibri" w:hAnsi="Calibri"/>
          <w:b/>
          <w:bCs/>
          <w:color w:val="0E1F33"/>
          <w:sz w:val="20"/>
          <w:szCs w:val="20"/>
        </w:rPr>
        <w:t xml:space="preserve">Why stage-level tracking matters more than start-to-finish tracking</w:t>
      </w:r>
    </w:p>
    <w:p>
      <w:pPr>
        <w:spacing w:after="160"/>
      </w:pPr>
      <w:r>
        <w:rPr>
          <w:rFonts w:ascii="Calibri" w:cs="Calibri" w:eastAsia="Calibri" w:hAnsi="Calibri"/>
          <w:color w:val="5C6678"/>
          <w:sz w:val="21"/>
          <w:szCs w:val="21"/>
        </w:rPr>
        <w:t xml:space="preserve">It would be simpler to track only "time from request to report" as a single number. LabOS deliberately tracks median time at each individual stage instead, visible on the Dashboard's turnaround widget, because a single aggregate number hides exactly where a problem lives. A request that takes six hours total could be spending five of those hours sitting in Awaiting payment because the cashier queue is slow, or five hours In progress because a particular analyser is overloaded — these are two completely different operational problems requiring two completely different fixes, and only stage-level tracking can tell them apart. When a category consistently overshoots its target turnaround time at a specific stage, the Analytics page flags it explicitly as a bottleneck, giving a laboratory manager a concrete, actionable signal rather than a vague sense that "things feel slow."</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Memorise the seven stages in order well enough to explain them to a new staff member without looking them up — this fluency is what later modules and the CLA certification exam will assume you have.</w:t>
      </w:r>
    </w:p>
    <w:p>
      <w:pPr>
        <w:pStyle w:val="ListParagraph"/>
        <w:numPr>
          <w:ilvl w:val="0"/>
          <w:numId w:val="3"/>
        </w:numPr>
        <w:spacing w:after="90"/>
      </w:pPr>
      <w:r>
        <w:rPr>
          <w:rFonts w:ascii="Calibri" w:cs="Calibri" w:eastAsia="Calibri" w:hAnsi="Calibri"/>
          <w:color w:val="5C6678"/>
          <w:sz w:val="21"/>
          <w:szCs w:val="21"/>
        </w:rPr>
        <w:t xml:space="preserve">When troubleshooting a "slow" complaint from a patient or referring clinician, check the Dashboard turnaround widget for the specific stage before assuming you know where the delay is.</w:t>
      </w:r>
    </w:p>
    <w:p>
      <w:pPr>
        <w:pStyle w:val="ListParagraph"/>
        <w:numPr>
          <w:ilvl w:val="0"/>
          <w:numId w:val="3"/>
        </w:numPr>
        <w:spacing w:after="90"/>
      </w:pPr>
      <w:r>
        <w:rPr>
          <w:rFonts w:ascii="Calibri" w:cs="Calibri" w:eastAsia="Calibri" w:hAnsi="Calibri"/>
          <w:color w:val="5C6678"/>
          <w:sz w:val="21"/>
          <w:szCs w:val="21"/>
        </w:rPr>
        <w:t xml:space="preserve">Periodically review the Analytics page's bottleneck flags proactively, rather than waiting for a complaint to prompt the investigation.</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the seven stages as interchangeable status labels rather than understanding the specific triggering action behind each transition.</w:t>
      </w:r>
    </w:p>
    <w:p>
      <w:pPr>
        <w:pStyle w:val="ListParagraph"/>
        <w:numPr>
          <w:ilvl w:val="0"/>
          <w:numId w:val="3"/>
        </w:numPr>
        <w:spacing w:after="90"/>
      </w:pPr>
      <w:r>
        <w:rPr>
          <w:rFonts w:ascii="Calibri" w:cs="Calibri" w:eastAsia="Calibri" w:hAnsi="Calibri"/>
          <w:color w:val="5C6678"/>
          <w:sz w:val="21"/>
          <w:szCs w:val="21"/>
        </w:rPr>
        <w:t xml:space="preserve">Assuming a "slow" request is a single, undifferentiated problem rather than checking which specific stage is actually responsible for the delay.</w:t>
      </w:r>
    </w:p>
    <w:p>
      <w:pPr>
        <w:pStyle w:val="ListParagraph"/>
        <w:numPr>
          <w:ilvl w:val="0"/>
          <w:numId w:val="3"/>
        </w:numPr>
        <w:spacing w:after="90"/>
      </w:pPr>
      <w:r>
        <w:rPr>
          <w:rFonts w:ascii="Calibri" w:cs="Calibri" w:eastAsia="Calibri" w:hAnsi="Calibri"/>
          <w:color w:val="5C6678"/>
          <w:sz w:val="21"/>
          <w:szCs w:val="21"/>
        </w:rPr>
        <w:t xml:space="preserve">Ignoring persistent bottleneck flags on the Analytics page because no single patient has complained loudly enough yet to prompt action.</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3.1 — NARRATE THE PIPELINE</w:t>
            </w:r>
          </w:p>
          <w:p>
            <w:r>
              <w:rPr>
                <w:rFonts w:ascii="Calibri" w:cs="Calibri" w:eastAsia="Calibri" w:hAnsi="Calibri"/>
                <w:i/>
                <w:iCs/>
                <w:color w:val="0E1F33"/>
                <w:sz w:val="21"/>
                <w:szCs w:val="21"/>
              </w:rPr>
              <w:t xml:space="preserve">Without referring back to this lesson's text, write out all seven workflow stages from memory, in order, and for each one write a single sentence describing the specific action that triggers the transition into that stage from the one before it. Then, in a sandbox LabOS environment, open the Dashboard turnaround widget and identify which test category currently has the longest median time at any single stage — write one sentence hypothesising why, based only on what you know about that stage's nature (financial gate, physical action, analytical work, or review).</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What specifically separates the "Sample pending" stage from the "Sample collected" stage?</w:t>
      </w:r>
    </w:p>
    <w:p>
      <w:pPr>
        <w:spacing w:after="60"/>
      </w:pPr>
      <w:r>
        <w:rPr>
          <w:rFonts w:ascii="Calibri" w:cs="Calibri" w:eastAsia="Calibri" w:hAnsi="Calibri"/>
          <w:color w:val="5C6678"/>
          <w:sz w:val="20"/>
          <w:szCs w:val="20"/>
        </w:rPr>
        <w:t xml:space="preserve">Sample pending means the request has been paid and routed to phlebotomy, but no physical sample has been drawn yet; Sample collected means the tubes have actually been drawn, labelled, and are en route to the bench — the transition is triggered by a physical, accountable collection action, not an administrative one.</w:t>
      </w:r>
    </w:p>
    <w:p>
      <w:pPr>
        <w:spacing w:after="50" w:before="140"/>
      </w:pPr>
      <w:r>
        <w:rPr>
          <w:rFonts w:ascii="Calibri" w:cs="Calibri" w:eastAsia="Calibri" w:hAnsi="Calibri"/>
          <w:b/>
          <w:bCs/>
          <w:color w:val="0E1F33"/>
          <w:sz w:val="21"/>
          <w:szCs w:val="21"/>
        </w:rPr>
        <w:t xml:space="preserve">2. Why does LabOS track turnaround time at the level of individual stages rather than only as a single start-to-finish number?</w:t>
      </w:r>
    </w:p>
    <w:p>
      <w:pPr>
        <w:spacing w:after="60"/>
      </w:pPr>
      <w:r>
        <w:rPr>
          <w:rFonts w:ascii="Calibri" w:cs="Calibri" w:eastAsia="Calibri" w:hAnsi="Calibri"/>
          <w:color w:val="5C6678"/>
          <w:sz w:val="20"/>
          <w:szCs w:val="20"/>
        </w:rPr>
        <w:t xml:space="preserve">Because a single aggregate number hides where a delay actually lives — a request stuck in Awaiting payment (a billing/cashier problem) and one stuck In progress (an analytical/equipment problem) look identical in a total-time number but require completely different fixes, so stage-level tracking is what makes the data actually actionable.</w:t>
      </w:r>
    </w:p>
    <w:p>
      <w:pPr>
        <w:spacing w:after="50" w:before="140"/>
      </w:pPr>
      <w:r>
        <w:rPr>
          <w:rFonts w:ascii="Calibri" w:cs="Calibri" w:eastAsia="Calibri" w:hAnsi="Calibri"/>
          <w:b/>
          <w:bCs/>
          <w:color w:val="0E1F33"/>
          <w:sz w:val="21"/>
          <w:szCs w:val="21"/>
        </w:rPr>
        <w:t xml:space="preserve">3. A request has been sitting in "Awaiting validation" for an unusually long time. What does that specifically tell you has and hasn't happened yet?</w:t>
      </w:r>
    </w:p>
    <w:p>
      <w:pPr>
        <w:spacing w:after="60"/>
      </w:pPr>
      <w:r>
        <w:rPr>
          <w:rFonts w:ascii="Calibri" w:cs="Calibri" w:eastAsia="Calibri" w:hAnsi="Calibri"/>
          <w:color w:val="5C6678"/>
          <w:sz w:val="20"/>
          <w:szCs w:val="20"/>
        </w:rPr>
        <w:t xml:space="preserve">It tells you a result has been entered by the original scientist, but a second, independent reviewer has not yet approved or rejected it — the result itself exists, but it is gated from release until that second-person review is complete.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3.1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"Understanding the Seven Stages Before You Touch a Screen" — CLA Module 3,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recite and explain all seven workflow stages, including their specific triggers, and understands stage-level turnaround tracking.</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7–8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Primarily presenter-to-camera with an animated stage diagram; minimal live screen recording, reserved for the turnaround widget at the end</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(0:00–0:35) — "Before we touch a single screen, you need to be able to recite this from memory."</w:t>
      </w:r>
    </w:p>
    <w:p>
      <w:pPr>
        <w:pStyle w:val="ListParagraph"/>
        <w:numPr>
          <w:ilvl w:val="0"/>
          <w:numId w:val="4"/>
        </w:numPr>
        <w:spacing w:after="90"/>
      </w:pPr>
      <w:r>
        <w:rPr>
          <w:rFonts w:ascii="Calibri" w:cs="Calibri" w:eastAsia="Calibri" w:hAnsi="Calibri"/>
          <w:color w:val="5C6678"/>
          <w:sz w:val="21"/>
          <w:szCs w:val="21"/>
        </w:rPr>
        <w:t xml:space="preserve">The paper-based "where is this sample right now" problem, briefly (0:35–1:30).</w:t>
      </w:r>
    </w:p>
    <w:p>
      <w:pPr>
        <w:pStyle w:val="ListParagraph"/>
        <w:numPr>
          <w:ilvl w:val="0"/>
          <w:numId w:val="4"/>
        </w:numPr>
        <w:spacing w:after="90"/>
      </w:pPr>
      <w:r>
        <w:rPr>
          <w:rFonts w:ascii="Calibri" w:cs="Calibri" w:eastAsia="Calibri" w:hAnsi="Calibri"/>
          <w:color w:val="5C6678"/>
          <w:sz w:val="21"/>
          <w:szCs w:val="21"/>
        </w:rPr>
        <w:t xml:space="preserve">Walk all seven stages against an animated pipeline graphic, one at a time, naming the specific trigger for each (1:30–5:00).</w:t>
      </w:r>
    </w:p>
    <w:p>
      <w:pPr>
        <w:pStyle w:val="ListParagraph"/>
        <w:numPr>
          <w:ilvl w:val="0"/>
          <w:numId w:val="4"/>
        </w:numPr>
        <w:spacing w:after="90"/>
      </w:pPr>
      <w:r>
        <w:rPr>
          <w:rFonts w:ascii="Calibri" w:cs="Calibri" w:eastAsia="Calibri" w:hAnsi="Calibri"/>
          <w:color w:val="5C6678"/>
          <w:sz w:val="21"/>
          <w:szCs w:val="21"/>
        </w:rPr>
        <w:t xml:space="preserve">Why stage-level tracking beats a single total-time number — the two-different-bottlenecks example (5:00–6:30).</w:t>
      </w:r>
    </w:p>
    <w:p>
      <w:pPr>
        <w:pStyle w:val="ListParagraph"/>
        <w:numPr>
          <w:ilvl w:val="0"/>
          <w:numId w:val="4"/>
        </w:numPr>
        <w:spacing w:after="90"/>
      </w:pPr>
      <w:r>
        <w:rPr>
          <w:rFonts w:ascii="Calibri" w:cs="Calibri" w:eastAsia="Calibri" w:hAnsi="Calibri"/>
          <w:color w:val="5C6678"/>
          <w:sz w:val="21"/>
          <w:szCs w:val="21"/>
        </w:rPr>
        <w:t xml:space="preserve">Brief live demo: Dashboard turnaround widget and an Analytics bottleneck flag (6:30–7:30).</w:t>
      </w:r>
    </w:p>
    <w:p>
      <w:pPr>
        <w:pStyle w:val="ListParagraph"/>
        <w:numPr>
          <w:ilvl w:val="0"/>
          <w:numId w:val="4"/>
        </w:numPr>
        <w:spacing w:after="90"/>
      </w:pPr>
      <w:r>
        <w:rPr>
          <w:rFonts w:ascii="Calibri" w:cs="Calibri" w:eastAsia="Calibri" w:hAnsi="Calibri"/>
          <w:color w:val="5C6678"/>
          <w:sz w:val="21"/>
          <w:szCs w:val="21"/>
        </w:rPr>
        <w:t xml:space="preserve">Close + transition to Lesson 3.2 (7:30–end).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by setting expectations explicitly: "This lesson is mostly off-screen on purpose — I want this pipeline in your head, not just on a page you'll forget to reopen."</w:t>
      </w:r>
    </w:p>
    <w:p>
      <w:pPr>
        <w:pStyle w:val="ListParagraph"/>
        <w:numPr>
          <w:ilvl w:val="0"/>
          <w:numId w:val="3"/>
        </w:numPr>
        <w:spacing w:after="90"/>
      </w:pPr>
      <w:r>
        <w:rPr>
          <w:rFonts w:ascii="Calibri" w:cs="Calibri" w:eastAsia="Calibri" w:hAnsi="Calibri"/>
          <w:color w:val="5C6678"/>
          <w:sz w:val="21"/>
          <w:szCs w:val="21"/>
        </w:rPr>
        <w:t xml:space="preserve">For each stage, use a consistent verbal pattern: name the stage, then say "...and that happens specifically because..." — repetition of structure aids memorisation.</w:t>
      </w:r>
    </w:p>
    <w:p>
      <w:pPr>
        <w:pStyle w:val="ListParagraph"/>
        <w:numPr>
          <w:ilvl w:val="0"/>
          <w:numId w:val="3"/>
        </w:numPr>
        <w:spacing w:after="90"/>
      </w:pPr>
      <w:r>
        <w:rPr>
          <w:rFonts w:ascii="Calibri" w:cs="Calibri" w:eastAsia="Calibri" w:hAnsi="Calibri"/>
          <w:color w:val="5C6678"/>
          <w:sz w:val="21"/>
          <w:szCs w:val="21"/>
        </w:rPr>
        <w:t xml:space="preserve">When explaining stage-level vs. total-time tracking, use the exact two-scenario contrast from the lesson text (cashier queue vs. overloaded analyser) — it's concrete and sticks.</w:t>
      </w:r>
    </w:p>
    <w:p>
      <w:pPr>
        <w:pStyle w:val="ListParagraph"/>
        <w:numPr>
          <w:ilvl w:val="0"/>
          <w:numId w:val="3"/>
        </w:numPr>
        <w:spacing w:after="90"/>
      </w:pPr>
      <w:r>
        <w:rPr>
          <w:rFonts w:ascii="Calibri" w:cs="Calibri" w:eastAsia="Calibri" w:hAnsi="Calibri"/>
          <w:color w:val="5C6678"/>
          <w:sz w:val="21"/>
          <w:szCs w:val="21"/>
        </w:rPr>
        <w:t xml:space="preserve">Close with a direct challenge to the viewer: "Pause this video right now and say all seven stages out loud, in order, before you continue."</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Cut to screen only for the final segment.</w:t>
      </w:r>
    </w:p>
    <w:p>
      <w:pPr>
        <w:pStyle w:val="ListParagraph"/>
        <w:numPr>
          <w:ilvl w:val="0"/>
          <w:numId w:val="5"/>
        </w:numPr>
        <w:spacing w:after="90"/>
      </w:pPr>
      <w:r>
        <w:rPr>
          <w:rFonts w:ascii="Calibri" w:cs="Calibri" w:eastAsia="Calibri" w:hAnsi="Calibri"/>
          <w:color w:val="5C6678"/>
          <w:sz w:val="21"/>
          <w:szCs w:val="21"/>
        </w:rPr>
        <w:t xml:space="preserve">Open the Dashboard, point to the turnaround widget, hover over two or three different stages to show their individual median times.</w:t>
      </w:r>
    </w:p>
    <w:p>
      <w:pPr>
        <w:pStyle w:val="ListParagraph"/>
        <w:numPr>
          <w:ilvl w:val="0"/>
          <w:numId w:val="5"/>
        </w:numPr>
        <w:spacing w:after="90"/>
      </w:pPr>
      <w:r>
        <w:rPr>
          <w:rFonts w:ascii="Calibri" w:cs="Calibri" w:eastAsia="Calibri" w:hAnsi="Calibri"/>
          <w:color w:val="5C6678"/>
          <w:sz w:val="21"/>
          <w:szCs w:val="21"/>
        </w:rPr>
        <w:t xml:space="preserve">Navigate to the Analytics page, locate a category flagged as a bottleneck, point out which specific stage is driving the flag.</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Seven stages: Drafted → Awaiting payment → Sample pending → Sample collected → In progress → Awaiting validation → Released.</w:t>
      </w:r>
    </w:p>
    <w:p>
      <w:pPr>
        <w:pStyle w:val="ListParagraph"/>
        <w:numPr>
          <w:ilvl w:val="0"/>
          <w:numId w:val="3"/>
        </w:numPr>
        <w:spacing w:after="90"/>
      </w:pPr>
      <w:r>
        <w:rPr>
          <w:rFonts w:ascii="Calibri" w:cs="Calibri" w:eastAsia="Calibri" w:hAnsi="Calibri"/>
          <w:color w:val="5C6678"/>
          <w:sz w:val="21"/>
          <w:szCs w:val="21"/>
        </w:rPr>
        <w:t xml:space="preserve">Each transition is triggered by a specific, accountable action — never assume one without confirming it happened.</w:t>
      </w:r>
    </w:p>
    <w:p>
      <w:pPr>
        <w:pStyle w:val="ListParagraph"/>
        <w:numPr>
          <w:ilvl w:val="0"/>
          <w:numId w:val="3"/>
        </w:numPr>
        <w:spacing w:after="90"/>
      </w:pPr>
      <w:r>
        <w:rPr>
          <w:rFonts w:ascii="Calibri" w:cs="Calibri" w:eastAsia="Calibri" w:hAnsi="Calibri"/>
          <w:color w:val="5C6678"/>
          <w:sz w:val="21"/>
          <w:szCs w:val="21"/>
        </w:rPr>
        <w:t xml:space="preserve">Stage-level tracking finds the real bottleneck; total-time tracking only tells you something is wrong, not where.</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A persistent animated horizontal pipeline graphic with all seven stages, the active one highlighted as it's discussed.</w:t>
      </w:r>
    </w:p>
    <w:p>
      <w:pPr>
        <w:pStyle w:val="ListParagraph"/>
        <w:numPr>
          <w:ilvl w:val="0"/>
          <w:numId w:val="3"/>
        </w:numPr>
        <w:spacing w:after="90"/>
      </w:pPr>
      <w:r>
        <w:rPr>
          <w:rFonts w:ascii="Calibri" w:cs="Calibri" w:eastAsia="Calibri" w:hAnsi="Calibri"/>
          <w:color w:val="5C6678"/>
          <w:sz w:val="21"/>
          <w:szCs w:val="21"/>
        </w:rPr>
        <w:t xml:space="preserve">Simple split-screen icon pair illustrating the two bottleneck scenarios: a cashier queue icon vs. an overloaded analyser icon, both leading to the same "6 hours total" number.</w:t>
      </w:r>
    </w:p>
    <w:p>
      <w:pPr>
        <w:pStyle w:val="ListParagraph"/>
        <w:numPr>
          <w:ilvl w:val="0"/>
          <w:numId w:val="3"/>
        </w:numPr>
        <w:spacing w:after="90"/>
      </w:pPr>
      <w:r>
        <w:rPr>
          <w:rFonts w:ascii="Calibri" w:cs="Calibri" w:eastAsia="Calibri" w:hAnsi="Calibri"/>
          <w:color w:val="5C6678"/>
          <w:sz w:val="21"/>
          <w:szCs w:val="21"/>
        </w:rPr>
        <w:t xml:space="preserve">Dashboard turnaround widget shown as a clean close-up screenshot with stage-by-stage median times visible.</w:t>
      </w:r>
    </w:p>
    <w:p>
      <w:r>
        <w:br w:type="page"/>
      </w:r>
    </w:p>
    <w:p>
      <w:pPr>
        <w:spacing w:after="60"/>
      </w:pPr>
      <w:r>
        <w:rPr>
          <w:rFonts w:ascii="Calibri" w:cs="Calibri" w:eastAsia="Calibri" w:hAnsi="Calibri"/>
          <w:b/>
          <w:bCs/>
          <w:color w:val="A8552E"/>
          <w:spacing w:val="14"/>
          <w:sz w:val="17"/>
          <w:szCs w:val="17"/>
        </w:rPr>
        <w:t xml:space="preserve">LESSON 3.2</w:t>
      </w:r>
    </w:p>
    <w:p>
      <w:pPr>
        <w:pStyle w:val="Heading1"/>
      </w:pPr>
      <w:r>
        <w:rPr>
          <w:rFonts w:ascii="Calibri" w:cs="Calibri" w:eastAsia="Calibri" w:hAnsi="Calibri"/>
        </w:rPr>
        <w:t xml:space="preserve">Creating the Request and Collecting the Sample</w:t>
      </w:r>
    </w:p>
    <w:p>
      <w:pPr>
        <w:spacing w:after="200"/>
      </w:pPr>
      <w:r>
        <w:rPr>
          <w:rFonts w:ascii="Calibri" w:cs="Calibri" w:eastAsia="Calibri" w:hAnsi="Calibri"/>
          <w:color w:val="5C6678"/>
          <w:sz w:val="23"/>
          <w:szCs w:val="23"/>
        </w:rPr>
        <w:t xml:space="preserve">This lesson covers the first physical handoff in the journey: from an idea ("this patient needs these tests") to an order in the system, to an actual labelled tube of blood in someone's hand — and everything that has to go right at each step to keep that tube reliably connected to the right person.</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creating a test request through the new-request modal — including common-panel chips and priority selection — and the phlebotomy chain-of-custody process that follows once that request is paid. By the end, a learner should be able to create a request efficiently using the right tools for the situation, choose priority levels with full understanding of their consequences, and explain every step of correct sample collection, including when legal-grade chain of custody applies.</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The request-creation and sample-collection stages are where a laboratory's entire downstream accuracy is decided. If the wrong test is ordered, every later stage executes flawlessly against the wrong target. If a sample is collected from the wrong patient, or labelled after the fact instead of at the moment of draw, no amount of analytical precision later can recover the correct answer — the error is now permanently baked into the chain. This is why phlebotomy's read-back identification step and barcode-at-the-moment-of-draw practice are not bureaucratic formalities; they are the single most important accuracy checkpoint in the entire seven-stage journey, because everything after this point assumes they were done correctly.</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Opening the new-request modal: from the topbar, Dashboard, patient detail page, or via Ctrl+K.</w:t>
      </w:r>
    </w:p>
    <w:p>
      <w:pPr>
        <w:pStyle w:val="ListParagraph"/>
        <w:numPr>
          <w:ilvl w:val="0"/>
          <w:numId w:val="3"/>
        </w:numPr>
        <w:spacing w:after="90"/>
      </w:pPr>
      <w:r>
        <w:rPr>
          <w:rFonts w:ascii="Calibri" w:cs="Calibri" w:eastAsia="Calibri" w:hAnsi="Calibri"/>
          <w:color w:val="5C6678"/>
          <w:sz w:val="21"/>
          <w:szCs w:val="21"/>
        </w:rPr>
        <w:t xml:space="preserve">Browsing and selecting from 267 tests across 18 categories, and how the cart calculates pricing and required specimen tubes.</w:t>
      </w:r>
    </w:p>
    <w:p>
      <w:pPr>
        <w:pStyle w:val="ListParagraph"/>
        <w:numPr>
          <w:ilvl w:val="0"/>
          <w:numId w:val="3"/>
        </w:numPr>
        <w:spacing w:after="90"/>
      </w:pPr>
      <w:r>
        <w:rPr>
          <w:rFonts w:ascii="Calibri" w:cs="Calibri" w:eastAsia="Calibri" w:hAnsi="Calibri"/>
          <w:color w:val="5C6678"/>
          <w:sz w:val="21"/>
          <w:szCs w:val="21"/>
        </w:rPr>
        <w:t xml:space="preserve">Common-panel chips (Antenatal Booking, Diabetes Workup, Renal Function, Liver Function, Thyroid, Lipid Profile, Pre-Marital Screen, Fertility) and what they add.</w:t>
      </w:r>
    </w:p>
    <w:p>
      <w:pPr>
        <w:pStyle w:val="ListParagraph"/>
        <w:numPr>
          <w:ilvl w:val="0"/>
          <w:numId w:val="3"/>
        </w:numPr>
        <w:spacing w:after="90"/>
      </w:pPr>
      <w:r>
        <w:rPr>
          <w:rFonts w:ascii="Calibri" w:cs="Calibri" w:eastAsia="Calibri" w:hAnsi="Calibri"/>
          <w:color w:val="5C6678"/>
          <w:sz w:val="21"/>
          <w:szCs w:val="21"/>
        </w:rPr>
        <w:t xml:space="preserve">Priority levels — Routine, Urgent (+50% fee, prioritised), STAT (+100% fee, immediate, skips ahead of other patients) — and how to choose correctly.</w:t>
      </w:r>
    </w:p>
    <w:p>
      <w:pPr>
        <w:pStyle w:val="ListParagraph"/>
        <w:numPr>
          <w:ilvl w:val="0"/>
          <w:numId w:val="3"/>
        </w:numPr>
        <w:spacing w:after="90"/>
      </w:pPr>
      <w:r>
        <w:rPr>
          <w:rFonts w:ascii="Calibri" w:cs="Calibri" w:eastAsia="Calibri" w:hAnsi="Calibri"/>
          <w:color w:val="5C6678"/>
          <w:sz w:val="21"/>
          <w:szCs w:val="21"/>
        </w:rPr>
        <w:t xml:space="preserve">The phlebotomy chain-of-custody process: patient identification read-back, wristband/card scan, tube-label printing matched to required specimen types, barcode scan at draw, condition-note capture.</w:t>
      </w:r>
    </w:p>
    <w:p>
      <w:pPr>
        <w:pStyle w:val="ListParagraph"/>
        <w:numPr>
          <w:ilvl w:val="0"/>
          <w:numId w:val="3"/>
        </w:numPr>
        <w:spacing w:after="90"/>
      </w:pPr>
      <w:r>
        <w:rPr>
          <w:rFonts w:ascii="Calibri" w:cs="Calibri" w:eastAsia="Calibri" w:hAnsi="Calibri"/>
          <w:color w:val="5C6678"/>
          <w:sz w:val="21"/>
          <w:szCs w:val="21"/>
        </w:rPr>
        <w:t xml:space="preserve">Legal-grade chain of custody for paternity DNA, immigration DNA, and chain-of-custody drug screens: designated officer requirement, photo ID, tamper-evident sealed envelope with recorded seal number.</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Opening the request efficiently</w:t>
      </w:r>
    </w:p>
    <w:p>
      <w:pPr>
        <w:spacing w:after="160"/>
      </w:pPr>
      <w:r>
        <w:rPr>
          <w:rFonts w:ascii="Calibri" w:cs="Calibri" w:eastAsia="Calibri" w:hAnsi="Calibri"/>
          <w:color w:val="5C6678"/>
          <w:sz w:val="21"/>
          <w:szCs w:val="21"/>
        </w:rPr>
        <w:t xml:space="preserve">The new-request modal opens from three different visible entry points — the topbar, the Dashboard, or any patient's detail page — plus the Ctrl+K command palette covered in Module 1, by typing "new request." Having three visible entry points is deliberate: front-desk staff working from a patient's own record benefit from opening it there, where the patient is already selected, while staff working from a general queue benefit from the topbar or Dashboard entry points. An administrator should know all three exist so they can recommend the most efficient one for a given staff member's actual workflow, rather than teaching only one path by default.</w:t>
      </w:r>
    </w:p>
    <w:p>
      <w:pPr>
        <w:spacing w:after="100" w:before="220"/>
      </w:pPr>
      <w:r>
        <w:rPr>
          <w:rFonts w:ascii="Calibri" w:cs="Calibri" w:eastAsia="Calibri" w:hAnsi="Calibri"/>
          <w:b/>
          <w:bCs/>
          <w:color w:val="0E1F33"/>
          <w:sz w:val="20"/>
          <w:szCs w:val="20"/>
        </w:rPr>
        <w:t xml:space="preserve">Choosing tests efficiently — and why common-panel chips exist</w:t>
      </w:r>
    </w:p>
    <w:p>
      <w:pPr>
        <w:spacing w:after="160"/>
      </w:pPr>
      <w:r>
        <w:rPr>
          <w:rFonts w:ascii="Calibri" w:cs="Calibri" w:eastAsia="Calibri" w:hAnsi="Calibri"/>
          <w:color w:val="5C6678"/>
          <w:sz w:val="21"/>
          <w:szCs w:val="21"/>
        </w:rPr>
        <w:t xml:space="preserve">The full catalogue — 267 tests across 18 collapsible categories — is always browsable directly, but a large share of real-world requests are standard, well-known bundles: an antenatal booking panel, a diabetes workup, a lipid profile. The eight common-panel chips (Antenatal Booking, Diabetes Workup, Renal Function, Liver Function, Thyroid, Lipid Profile, Pre-Marital Screen, Fertility) exist specifically to make these high-frequency bundles a single tap instead of four-to-ten individual searches, adding 4–10 tests at once. The cart on the right updates live as tests are added, totalling price against the tenant's own pricing and listing exactly which specimen tubes phlebotomy will need — meaning the people drawing blood downstream already know what to prepare before the patient even reaches them.</w:t>
      </w:r>
    </w:p>
    <w:p>
      <w:pPr>
        <w:spacing w:after="100" w:before="220"/>
      </w:pPr>
      <w:r>
        <w:rPr>
          <w:rFonts w:ascii="Calibri" w:cs="Calibri" w:eastAsia="Calibri" w:hAnsi="Calibri"/>
          <w:b/>
          <w:bCs/>
          <w:color w:val="0E1F33"/>
          <w:sz w:val="20"/>
          <w:szCs w:val="20"/>
        </w:rPr>
        <w:t xml:space="preserve">Choosing priority with full understanding of the consequence</w:t>
      </w:r>
    </w:p>
    <w:p>
      <w:pPr>
        <w:spacing w:after="160"/>
      </w:pPr>
      <w:r>
        <w:rPr>
          <w:rFonts w:ascii="Calibri" w:cs="Calibri" w:eastAsia="Calibri" w:hAnsi="Calibri"/>
          <w:color w:val="5C6678"/>
          <w:sz w:val="21"/>
          <w:szCs w:val="21"/>
        </w:rPr>
        <w:t xml:space="preserve">Routine is the default and appropriate for the large majority of requests. Urgent carries a 50% fee premium and is prioritised in the queue — appropriate when a result is needed meaningfully sooner than routine turnaround, but not a true emergency. STAT carries a 100% fee premium and means immediate processing, explicitly skipping ahead of other patients' samples already in the queue. The phrase "skips ahead of other patients" is the detail worth sitting with: STAT is not a faster lane that runs in parallel — it is genuine queue displacement, meaning every STAT request has a real, if usually small, cost to every other patient currently waiting. This is exactly why priority should be chosen deliberately against actual clinical urgency, not applied as a default "just in case" convenience.</w:t>
      </w:r>
    </w:p>
    <w:p>
      <w:pPr>
        <w:spacing w:after="100" w:before="220"/>
      </w:pPr>
      <w:r>
        <w:rPr>
          <w:rFonts w:ascii="Calibri" w:cs="Calibri" w:eastAsia="Calibri" w:hAnsi="Calibri"/>
          <w:b/>
          <w:bCs/>
          <w:color w:val="0E1F33"/>
          <w:sz w:val="20"/>
          <w:szCs w:val="20"/>
        </w:rPr>
        <w:t xml:space="preserve">Correct sample collection, step by step</w:t>
      </w:r>
    </w:p>
    <w:p>
      <w:pPr>
        <w:spacing w:after="160"/>
      </w:pPr>
      <w:r>
        <w:rPr>
          <w:rFonts w:ascii="Calibri" w:cs="Calibri" w:eastAsia="Calibri" w:hAnsi="Calibri"/>
          <w:color w:val="5C6678"/>
          <w:sz w:val="21"/>
          <w:szCs w:val="21"/>
        </w:rPr>
        <w:t xml:space="preserve">Once a request is paid and reaches Sample pending, it appears in the phlebotomist's Sample Tracking queue. The correct sequence is: greet and identify the patient using a read-back of name and date of birth (not a yes/no confirmation, which is far easier to get wrong); scan the patient's wristband or hospital card; print tube labels, which LabOS generates to match exactly the specimen types the ordered tests require — EDTA, lithium heparin, serum separator, citrate, fluoride, urine, or stool, as applicable; collect each tube and scan its barcode at the literal moment of draw, not afterward at a desk; and record any condition notes (haemolysis, lipaemia, clotting) along with the time of the patient's last meal if any ordered test required fasting. Each of these steps closes a specific, real failure mode — the read-back catches misidentification, the barcode-at-draw timing prevents tube mix-ups between patients, and the condition notes give the analysing scientist context that can explain an otherwise-confusing result later.</w:t>
      </w:r>
    </w:p>
    <w:p>
      <w:pPr>
        <w:spacing w:after="100" w:before="220"/>
      </w:pPr>
      <w:r>
        <w:rPr>
          <w:rFonts w:ascii="Calibri" w:cs="Calibri" w:eastAsia="Calibri" w:hAnsi="Calibri"/>
          <w:b/>
          <w:bCs/>
          <w:color w:val="0E1F33"/>
          <w:sz w:val="20"/>
          <w:szCs w:val="20"/>
        </w:rPr>
        <w:t xml:space="preserve">When legal-grade chain of custody applies</w:t>
      </w:r>
    </w:p>
    <w:p>
      <w:pPr>
        <w:spacing w:after="160"/>
      </w:pPr>
      <w:r>
        <w:rPr>
          <w:rFonts w:ascii="Calibri" w:cs="Calibri" w:eastAsia="Calibri" w:hAnsi="Calibri"/>
          <w:color w:val="5C6678"/>
          <w:sz w:val="21"/>
          <w:szCs w:val="21"/>
        </w:rPr>
        <w:t xml:space="preserve">Standard chain-of-custody practice is sufficient for the overwhelming majority of clinical samples. A narrower category — paternity DNA, immigration DNA, and chain-of-custody drug screens — carries legal weight beyond the clinical result itself, and requires additional, specific safeguards: the collector must be a designated DNA/Toxicology officer (not any phlebotomist), the patient must present photo identification, and the sample must be sealed in a tamper-evident envelope with a unique seal number recorded directly in LabOS. An administrator needs to recognise which test categories trigger this requirement and ensure the correct officer designation exists in Staff &amp; Roles before such a request is ever processed — discovering the gap after a patient has already arrived for a legal-grade collection is a genuinely difficult situation to recover from gracefully.</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Teach staff to choose their request-creation entry point based on context — from the patient's own record when already there, rather than always defaulting to a general queue search.</w:t>
      </w:r>
    </w:p>
    <w:p>
      <w:pPr>
        <w:pStyle w:val="ListParagraph"/>
        <w:numPr>
          <w:ilvl w:val="0"/>
          <w:numId w:val="3"/>
        </w:numPr>
        <w:spacing w:after="90"/>
      </w:pPr>
      <w:r>
        <w:rPr>
          <w:rFonts w:ascii="Calibri" w:cs="Calibri" w:eastAsia="Calibri" w:hAnsi="Calibri"/>
          <w:color w:val="5C6678"/>
          <w:sz w:val="21"/>
          <w:szCs w:val="21"/>
        </w:rPr>
        <w:t xml:space="preserve">Reserve STAT genuinely for clinical emergencies, and periodically review STAT usage patterns for any individual requester who applies it unusually often.</w:t>
      </w:r>
    </w:p>
    <w:p>
      <w:pPr>
        <w:pStyle w:val="ListParagraph"/>
        <w:numPr>
          <w:ilvl w:val="0"/>
          <w:numId w:val="3"/>
        </w:numPr>
        <w:spacing w:after="90"/>
      </w:pPr>
      <w:r>
        <w:rPr>
          <w:rFonts w:ascii="Calibri" w:cs="Calibri" w:eastAsia="Calibri" w:hAnsi="Calibri"/>
          <w:color w:val="5C6678"/>
          <w:sz w:val="21"/>
          <w:szCs w:val="21"/>
        </w:rPr>
        <w:t xml:space="preserve">Insist on a verbal read-back ("Can you confirm your name and date of birth") rather than a yes/no confirmation ("Are you Mrs. Okonkwo?") during every patient identification step, with zero exceptions for familiar patients.</w:t>
      </w:r>
    </w:p>
    <w:p>
      <w:pPr>
        <w:pStyle w:val="ListParagraph"/>
        <w:numPr>
          <w:ilvl w:val="0"/>
          <w:numId w:val="3"/>
        </w:numPr>
        <w:spacing w:after="90"/>
      </w:pPr>
      <w:r>
        <w:rPr>
          <w:rFonts w:ascii="Calibri" w:cs="Calibri" w:eastAsia="Calibri" w:hAnsi="Calibri"/>
          <w:color w:val="5C6678"/>
          <w:sz w:val="21"/>
          <w:szCs w:val="21"/>
        </w:rPr>
        <w:t xml:space="preserve">Pre-confirm that a designated DNA/Toxicology officer is correctly configured in Staff &amp; Roles before your laboratory begins offering any legal-grade chain-of-custody testing.</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Searching the full catalogue individually for tests that a common-panel chip would have added correctly and faster in one tap.</w:t>
      </w:r>
    </w:p>
    <w:p>
      <w:pPr>
        <w:pStyle w:val="ListParagraph"/>
        <w:numPr>
          <w:ilvl w:val="0"/>
          <w:numId w:val="3"/>
        </w:numPr>
        <w:spacing w:after="90"/>
      </w:pPr>
      <w:r>
        <w:rPr>
          <w:rFonts w:ascii="Calibri" w:cs="Calibri" w:eastAsia="Calibri" w:hAnsi="Calibri"/>
          <w:color w:val="5C6678"/>
          <w:sz w:val="21"/>
          <w:szCs w:val="21"/>
        </w:rPr>
        <w:t xml:space="preserve">Applying Urgent or STAT priority as a default "to be safe" habit, without weighing the real fee and queue-displacement consequences.</w:t>
      </w:r>
    </w:p>
    <w:p>
      <w:pPr>
        <w:pStyle w:val="ListParagraph"/>
        <w:numPr>
          <w:ilvl w:val="0"/>
          <w:numId w:val="3"/>
        </w:numPr>
        <w:spacing w:after="90"/>
      </w:pPr>
      <w:r>
        <w:rPr>
          <w:rFonts w:ascii="Calibri" w:cs="Calibri" w:eastAsia="Calibri" w:hAnsi="Calibri"/>
          <w:color w:val="5C6678"/>
          <w:sz w:val="21"/>
          <w:szCs w:val="21"/>
        </w:rPr>
        <w:t xml:space="preserve">Using a yes/no identity confirmation instead of a genuine read-back, especially with regular or well-known patients — exactly the situation where complacency is most likely.</w:t>
      </w:r>
    </w:p>
    <w:p>
      <w:pPr>
        <w:pStyle w:val="ListParagraph"/>
        <w:numPr>
          <w:ilvl w:val="0"/>
          <w:numId w:val="3"/>
        </w:numPr>
        <w:spacing w:after="90"/>
      </w:pPr>
      <w:r>
        <w:rPr>
          <w:rFonts w:ascii="Calibri" w:cs="Calibri" w:eastAsia="Calibri" w:hAnsi="Calibri"/>
          <w:color w:val="5C6678"/>
          <w:sz w:val="21"/>
          <w:szCs w:val="21"/>
        </w:rPr>
        <w:t xml:space="preserve">Labelling tubes in advance or scanning barcodes after collection rather than at the literal moment of draw, reopening the tube-mix-up risk the barcode-at-draw practice is designed to close.</w:t>
      </w:r>
    </w:p>
    <w:p>
      <w:pPr>
        <w:pStyle w:val="ListParagraph"/>
        <w:numPr>
          <w:ilvl w:val="0"/>
          <w:numId w:val="3"/>
        </w:numPr>
        <w:spacing w:after="90"/>
      </w:pPr>
      <w:r>
        <w:rPr>
          <w:rFonts w:ascii="Calibri" w:cs="Calibri" w:eastAsia="Calibri" w:hAnsi="Calibri"/>
          <w:color w:val="5C6678"/>
          <w:sz w:val="21"/>
          <w:szCs w:val="21"/>
        </w:rPr>
        <w:t xml:space="preserve">Allowing a non-designated staff member to collect a legal-grade sample because the correct officer wasn't available, rather than rescheduling the collection.</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3.2 — ORDER AND COLLECT</w:t>
            </w:r>
          </w:p>
          <w:p>
            <w:r>
              <w:rPr>
                <w:rFonts w:ascii="Calibri" w:cs="Calibri" w:eastAsia="Calibri" w:hAnsi="Calibri"/>
                <w:i/>
                <w:iCs/>
                <w:color w:val="0E1F33"/>
                <w:sz w:val="21"/>
                <w:szCs w:val="21"/>
              </w:rPr>
              <w:t xml:space="preserve">In a sandbox LabOS environment, create a new test request for a sandbox patient using a common-panel chip of your choice, and explicitly justify in one sentence which priority level you selected and why. Move the request through to Sample pending, then perform the full phlebotomy sequence: simulate the identification read-back (write the exact phrase you would say), scan or simulate scanning the patient's card, note which specimen tubes LabOS indicates are required for your chosen panel, and record a condition note and barcode scan at the simulated moment of draw. Finally, write two to three sentences explaining, in your own words, what specific failure mode each of the read-back, the barcode-at-draw timing, and the condition-note capture is individually designed to prevent.</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are common-panel chips described as adding real efficiency, rather than just being a shortcut for impatient staff?</w:t>
      </w:r>
    </w:p>
    <w:p>
      <w:pPr>
        <w:spacing w:after="60"/>
      </w:pPr>
      <w:r>
        <w:rPr>
          <w:rFonts w:ascii="Calibri" w:cs="Calibri" w:eastAsia="Calibri" w:hAnsi="Calibri"/>
          <w:color w:val="5C6678"/>
          <w:sz w:val="20"/>
          <w:szCs w:val="20"/>
        </w:rPr>
        <w:t xml:space="preserve">Because a large share of real-world requests are standard, well-known bundles (antenatal booking, diabetes workup, etc.) — selecting 4–10 individually-searched tests one at a time is genuinely slower and more error-prone than a single tap that adds the correct, complete panel every time.</w:t>
      </w:r>
    </w:p>
    <w:p>
      <w:pPr>
        <w:spacing w:after="50" w:before="140"/>
      </w:pPr>
      <w:r>
        <w:rPr>
          <w:rFonts w:ascii="Calibri" w:cs="Calibri" w:eastAsia="Calibri" w:hAnsi="Calibri"/>
          <w:b/>
          <w:bCs/>
          <w:color w:val="0E1F33"/>
          <w:sz w:val="21"/>
          <w:szCs w:val="21"/>
        </w:rPr>
        <w:t xml:space="preserve">2. A front-desk officer applies STAT priority to a routine annual check-up panel because the patient says they're "in a bit of a hurry." What's the problem with this, beyond the extra fee?</w:t>
      </w:r>
    </w:p>
    <w:p>
      <w:pPr>
        <w:spacing w:after="60"/>
      </w:pPr>
      <w:r>
        <w:rPr>
          <w:rFonts w:ascii="Calibri" w:cs="Calibri" w:eastAsia="Calibri" w:hAnsi="Calibri"/>
          <w:color w:val="5C6678"/>
          <w:sz w:val="20"/>
          <w:szCs w:val="20"/>
        </w:rPr>
        <w:t xml:space="preserve">STAT doesn't just speed up this one request — it explicitly displaces other patients' samples already in the processing queue, meaning this choice has a real cost to other patients' turnaround time for a situation that isn't a genuine clinical emergency.</w:t>
      </w:r>
    </w:p>
    <w:p>
      <w:pPr>
        <w:spacing w:after="50" w:before="140"/>
      </w:pPr>
      <w:r>
        <w:rPr>
          <w:rFonts w:ascii="Calibri" w:cs="Calibri" w:eastAsia="Calibri" w:hAnsi="Calibri"/>
          <w:b/>
          <w:bCs/>
          <w:color w:val="0E1F33"/>
          <w:sz w:val="21"/>
          <w:szCs w:val="21"/>
        </w:rPr>
        <w:t xml:space="preserve">3. Why must barcode scanning happen at the literal moment of draw, rather than afterward back at a desk?</w:t>
      </w:r>
    </w:p>
    <w:p>
      <w:pPr>
        <w:spacing w:after="60"/>
      </w:pPr>
      <w:r>
        <w:rPr>
          <w:rFonts w:ascii="Calibri" w:cs="Calibri" w:eastAsia="Calibri" w:hAnsi="Calibri"/>
          <w:color w:val="5C6678"/>
          <w:sz w:val="20"/>
          <w:szCs w:val="20"/>
        </w:rPr>
        <w:t xml:space="preserve">Because scanning later reopens the risk the barcode system exists to close — if multiple tubes from multiple patients are drawn before any scanning happens, there is a real window for a tube to be mislabelled or mixed up with another patient's sample, which scanning at the moment of draw eliminates.</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3.2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"Creating the Request and Collecting the Sample" — CLA Module 3,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create a request efficiently with correct priority selection, and perform the full phlebotomy chain-of-custody sequence correctly.</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live phlebotomy role-play segment recommended if instructor-led</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(0:00–0:40) — "This is the moment where accuracy is either locked in, or lost for good."</w:t>
      </w:r>
    </w:p>
    <w:p>
      <w:pPr>
        <w:pStyle w:val="ListParagraph"/>
        <w:numPr>
          <w:ilvl w:val="0"/>
          <w:numId w:val="6"/>
        </w:numPr>
        <w:spacing w:after="90"/>
      </w:pPr>
      <w:r>
        <w:rPr>
          <w:rFonts w:ascii="Calibri" w:cs="Calibri" w:eastAsia="Calibri" w:hAnsi="Calibri"/>
          <w:color w:val="5C6678"/>
          <w:sz w:val="21"/>
          <w:szCs w:val="21"/>
        </w:rPr>
        <w:t xml:space="preserve">New-request modal: three entry points demo (0:40–2:00).</w:t>
      </w:r>
    </w:p>
    <w:p>
      <w:pPr>
        <w:pStyle w:val="ListParagraph"/>
        <w:numPr>
          <w:ilvl w:val="0"/>
          <w:numId w:val="6"/>
        </w:numPr>
        <w:spacing w:after="90"/>
      </w:pPr>
      <w:r>
        <w:rPr>
          <w:rFonts w:ascii="Calibri" w:cs="Calibri" w:eastAsia="Calibri" w:hAnsi="Calibri"/>
          <w:color w:val="5C6678"/>
          <w:sz w:val="21"/>
          <w:szCs w:val="21"/>
        </w:rPr>
        <w:t xml:space="preserve">Test selection: full catalogue browse, then a common-panel chip, side by side (2:00–4:00).</w:t>
      </w:r>
    </w:p>
    <w:p>
      <w:pPr>
        <w:pStyle w:val="ListParagraph"/>
        <w:numPr>
          <w:ilvl w:val="0"/>
          <w:numId w:val="6"/>
        </w:numPr>
        <w:spacing w:after="90"/>
      </w:pPr>
      <w:r>
        <w:rPr>
          <w:rFonts w:ascii="Calibri" w:cs="Calibri" w:eastAsia="Calibri" w:hAnsi="Calibri"/>
          <w:color w:val="5C6678"/>
          <w:sz w:val="21"/>
          <w:szCs w:val="21"/>
        </w:rPr>
        <w:t xml:space="preserve">Priority selection: Routine / Urgent / STAT, with fee and queue-displacement explicitly stated on screen (4:00–5:30).</w:t>
      </w:r>
    </w:p>
    <w:p>
      <w:pPr>
        <w:pStyle w:val="ListParagraph"/>
        <w:numPr>
          <w:ilvl w:val="0"/>
          <w:numId w:val="6"/>
        </w:numPr>
        <w:spacing w:after="90"/>
      </w:pPr>
      <w:r>
        <w:rPr>
          <w:rFonts w:ascii="Calibri" w:cs="Calibri" w:eastAsia="Calibri" w:hAnsi="Calibri"/>
          <w:color w:val="5C6678"/>
          <w:sz w:val="21"/>
          <w:szCs w:val="21"/>
        </w:rPr>
        <w:t xml:space="preserve">Phlebotomy sequence, live demo, all five steps narrated in full (5:30–9:00).</w:t>
      </w:r>
    </w:p>
    <w:p>
      <w:pPr>
        <w:pStyle w:val="ListParagraph"/>
        <w:numPr>
          <w:ilvl w:val="0"/>
          <w:numId w:val="6"/>
        </w:numPr>
        <w:spacing w:after="90"/>
      </w:pPr>
      <w:r>
        <w:rPr>
          <w:rFonts w:ascii="Calibri" w:cs="Calibri" w:eastAsia="Calibri" w:hAnsi="Calibri"/>
          <w:color w:val="5C6678"/>
          <w:sz w:val="21"/>
          <w:szCs w:val="21"/>
        </w:rPr>
        <w:t xml:space="preserve">Legal-grade chain of custody — when it applies, brief but clear (9:00–10:00).</w:t>
      </w:r>
    </w:p>
    <w:p>
      <w:pPr>
        <w:pStyle w:val="ListParagraph"/>
        <w:numPr>
          <w:ilvl w:val="0"/>
          <w:numId w:val="6"/>
        </w:numPr>
        <w:spacing w:after="90"/>
      </w:pPr>
      <w:r>
        <w:rPr>
          <w:rFonts w:ascii="Calibri" w:cs="Calibri" w:eastAsia="Calibri" w:hAnsi="Calibri"/>
          <w:color w:val="5C6678"/>
          <w:sz w:val="21"/>
          <w:szCs w:val="21"/>
        </w:rPr>
        <w:t xml:space="preserve">Close + transition to Lesson 3.3 (10:00–end).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At the priority-selection moment, say the STAT consequence out loud in plain language: "Choosing STAT here means someone else's sample just moved back in line — that's worth pausing on."</w:t>
      </w:r>
    </w:p>
    <w:p>
      <w:pPr>
        <w:pStyle w:val="ListParagraph"/>
        <w:numPr>
          <w:ilvl w:val="0"/>
          <w:numId w:val="3"/>
        </w:numPr>
        <w:spacing w:after="90"/>
      </w:pPr>
      <w:r>
        <w:rPr>
          <w:rFonts w:ascii="Calibri" w:cs="Calibri" w:eastAsia="Calibri" w:hAnsi="Calibri"/>
          <w:color w:val="5C6678"/>
          <w:sz w:val="21"/>
          <w:szCs w:val="21"/>
        </w:rPr>
        <w:t xml:space="preserve">During the phlebotomy demo, perform the read-back exactly as a real phlebotomist should say it, not as a paraphrase — modelling the literal words matters more here than almost anywhere else in the program.</w:t>
      </w:r>
    </w:p>
    <w:p>
      <w:pPr>
        <w:pStyle w:val="ListParagraph"/>
        <w:numPr>
          <w:ilvl w:val="0"/>
          <w:numId w:val="3"/>
        </w:numPr>
        <w:spacing w:after="90"/>
      </w:pPr>
      <w:r>
        <w:rPr>
          <w:rFonts w:ascii="Calibri" w:cs="Calibri" w:eastAsia="Calibri" w:hAnsi="Calibri"/>
          <w:color w:val="5C6678"/>
          <w:sz w:val="21"/>
          <w:szCs w:val="21"/>
        </w:rPr>
        <w:t xml:space="preserve">When scanning the barcode, narrate the timing explicitly: "Right now — at the moment of the draw, not back at my desk in five minutes."</w:t>
      </w:r>
    </w:p>
    <w:p>
      <w:pPr>
        <w:pStyle w:val="ListParagraph"/>
        <w:numPr>
          <w:ilvl w:val="0"/>
          <w:numId w:val="3"/>
        </w:numPr>
        <w:spacing w:after="90"/>
      </w:pPr>
      <w:r>
        <w:rPr>
          <w:rFonts w:ascii="Calibri" w:cs="Calibri" w:eastAsia="Calibri" w:hAnsi="Calibri"/>
          <w:color w:val="5C6678"/>
          <w:sz w:val="21"/>
          <w:szCs w:val="21"/>
        </w:rPr>
        <w:t xml:space="preserve">For the legal-grade segment, name the real stakes plainly: "This isn't just a clinical result anymore — this could end up in a courtroom, and the chain of custody has to hold up to that standard."</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Show opening the new-request modal from the topbar, then briefly from a patient detail page, then via Ctrl+K.</w:t>
      </w:r>
    </w:p>
    <w:p>
      <w:pPr>
        <w:pStyle w:val="ListParagraph"/>
        <w:numPr>
          <w:ilvl w:val="0"/>
          <w:numId w:val="7"/>
        </w:numPr>
        <w:spacing w:after="90"/>
      </w:pPr>
      <w:r>
        <w:rPr>
          <w:rFonts w:ascii="Calibri" w:cs="Calibri" w:eastAsia="Calibri" w:hAnsi="Calibri"/>
          <w:color w:val="5C6678"/>
          <w:sz w:val="21"/>
          <w:szCs w:val="21"/>
        </w:rPr>
        <w:t xml:space="preserve">Browse the catalogue manually for one test, then clear and use a common-panel chip instead, comparing the two approaches.</w:t>
      </w:r>
    </w:p>
    <w:p>
      <w:pPr>
        <w:pStyle w:val="ListParagraph"/>
        <w:numPr>
          <w:ilvl w:val="0"/>
          <w:numId w:val="7"/>
        </w:numPr>
        <w:spacing w:after="90"/>
      </w:pPr>
      <w:r>
        <w:rPr>
          <w:rFonts w:ascii="Calibri" w:cs="Calibri" w:eastAsia="Calibri" w:hAnsi="Calibri"/>
          <w:color w:val="5C6678"/>
          <w:sz w:val="21"/>
          <w:szCs w:val="21"/>
        </w:rPr>
        <w:t xml:space="preserve">Select Routine, then toggle to Urgent and STAT, pausing on the fee change and any queue-position indicator each time.</w:t>
      </w:r>
    </w:p>
    <w:p>
      <w:pPr>
        <w:pStyle w:val="ListParagraph"/>
        <w:numPr>
          <w:ilvl w:val="0"/>
          <w:numId w:val="7"/>
        </w:numPr>
        <w:spacing w:after="90"/>
      </w:pPr>
      <w:r>
        <w:rPr>
          <w:rFonts w:ascii="Calibri" w:cs="Calibri" w:eastAsia="Calibri" w:hAnsi="Calibri"/>
          <w:color w:val="5C6678"/>
          <w:sz w:val="21"/>
          <w:szCs w:val="21"/>
        </w:rPr>
        <w:t xml:space="preserve">Cut to a phlebotomy station (real or simulated): perform identification read-back, scan patient card, print and show matched tube labels, draw (simulated) and scan barcode immediately, enter a condition note.</w:t>
      </w:r>
    </w:p>
    <w:p>
      <w:pPr>
        <w:pStyle w:val="ListParagraph"/>
        <w:numPr>
          <w:ilvl w:val="0"/>
          <w:numId w:val="7"/>
        </w:numPr>
        <w:spacing w:after="90"/>
      </w:pPr>
      <w:r>
        <w:rPr>
          <w:rFonts w:ascii="Calibri" w:cs="Calibri" w:eastAsia="Calibri" w:hAnsi="Calibri"/>
          <w:color w:val="5C6678"/>
          <w:sz w:val="21"/>
          <w:szCs w:val="21"/>
        </w:rPr>
        <w:t xml:space="preserve">Briefly show the legal-grade collection flow: designated officer field, photo ID checkbox, tamper-evident seal number entry.</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Three ways to open a new request — choose based on where you're already working.</w:t>
      </w:r>
    </w:p>
    <w:p>
      <w:pPr>
        <w:pStyle w:val="ListParagraph"/>
        <w:numPr>
          <w:ilvl w:val="0"/>
          <w:numId w:val="3"/>
        </w:numPr>
        <w:spacing w:after="90"/>
      </w:pPr>
      <w:r>
        <w:rPr>
          <w:rFonts w:ascii="Calibri" w:cs="Calibri" w:eastAsia="Calibri" w:hAnsi="Calibri"/>
          <w:color w:val="5C6678"/>
          <w:sz w:val="21"/>
          <w:szCs w:val="21"/>
        </w:rPr>
        <w:t xml:space="preserve">Common-panel chips add the full correct bundle in one tap.</w:t>
      </w:r>
    </w:p>
    <w:p>
      <w:pPr>
        <w:pStyle w:val="ListParagraph"/>
        <w:numPr>
          <w:ilvl w:val="0"/>
          <w:numId w:val="3"/>
        </w:numPr>
        <w:spacing w:after="90"/>
      </w:pPr>
      <w:r>
        <w:rPr>
          <w:rFonts w:ascii="Calibri" w:cs="Calibri" w:eastAsia="Calibri" w:hAnsi="Calibri"/>
          <w:color w:val="5C6678"/>
          <w:sz w:val="21"/>
          <w:szCs w:val="21"/>
        </w:rPr>
        <w:t xml:space="preserve">STAT genuinely displaces other patients — choose priority deliberately, not by default.</w:t>
      </w:r>
    </w:p>
    <w:p>
      <w:pPr>
        <w:pStyle w:val="ListParagraph"/>
        <w:numPr>
          <w:ilvl w:val="0"/>
          <w:numId w:val="3"/>
        </w:numPr>
        <w:spacing w:after="90"/>
      </w:pPr>
      <w:r>
        <w:rPr>
          <w:rFonts w:ascii="Calibri" w:cs="Calibri" w:eastAsia="Calibri" w:hAnsi="Calibri"/>
          <w:color w:val="5C6678"/>
          <w:sz w:val="21"/>
          <w:szCs w:val="21"/>
        </w:rPr>
        <w:t xml:space="preserve">Read-back identification and barcode-at-draw are the two single biggest accuracy checkpoints in the entire workflow.</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On-screen fee/queue comparison graphic for Routine / Urgent / STAT, shown as a simple three-column card.</w:t>
      </w:r>
    </w:p>
    <w:p>
      <w:pPr>
        <w:pStyle w:val="ListParagraph"/>
        <w:numPr>
          <w:ilvl w:val="0"/>
          <w:numId w:val="3"/>
        </w:numPr>
        <w:spacing w:after="90"/>
      </w:pPr>
      <w:r>
        <w:rPr>
          <w:rFonts w:ascii="Calibri" w:cs="Calibri" w:eastAsia="Calibri" w:hAnsi="Calibri"/>
          <w:color w:val="5C6678"/>
          <w:sz w:val="21"/>
          <w:szCs w:val="21"/>
        </w:rPr>
        <w:t xml:space="preserve">Close-up insert shot of the barcode scan happening at the literal moment of a simulated draw.</w:t>
      </w:r>
    </w:p>
    <w:p>
      <w:pPr>
        <w:pStyle w:val="ListParagraph"/>
        <w:numPr>
          <w:ilvl w:val="0"/>
          <w:numId w:val="3"/>
        </w:numPr>
        <w:spacing w:after="90"/>
      </w:pPr>
      <w:r>
        <w:rPr>
          <w:rFonts w:ascii="Calibri" w:cs="Calibri" w:eastAsia="Calibri" w:hAnsi="Calibri"/>
          <w:color w:val="5C6678"/>
          <w:sz w:val="21"/>
          <w:szCs w:val="21"/>
        </w:rPr>
        <w:t xml:space="preserve">Simple icon-based five-step phlebotomy checklist as a persistent overlay during the live demo, checking off each step as it's completed.</w:t>
      </w:r>
    </w:p>
    <w:p>
      <w:r>
        <w:br w:type="page"/>
      </w:r>
    </w:p>
    <w:p>
      <w:pPr>
        <w:spacing w:after="60"/>
      </w:pPr>
      <w:r>
        <w:rPr>
          <w:rFonts w:ascii="Calibri" w:cs="Calibri" w:eastAsia="Calibri" w:hAnsi="Calibri"/>
          <w:b/>
          <w:bCs/>
          <w:color w:val="A8552E"/>
          <w:spacing w:val="14"/>
          <w:sz w:val="17"/>
          <w:szCs w:val="17"/>
        </w:rPr>
        <w:t xml:space="preserve">LESSON 3.3</w:t>
      </w:r>
    </w:p>
    <w:p>
      <w:pPr>
        <w:pStyle w:val="Heading1"/>
      </w:pPr>
      <w:r>
        <w:rPr>
          <w:rFonts w:ascii="Calibri" w:cs="Calibri" w:eastAsia="Calibri" w:hAnsi="Calibri"/>
        </w:rPr>
        <w:t xml:space="preserve">From Result to Released Report</w:t>
      </w:r>
    </w:p>
    <w:p>
      <w:pPr>
        <w:spacing w:after="200"/>
      </w:pPr>
      <w:r>
        <w:rPr>
          <w:rFonts w:ascii="Calibri" w:cs="Calibri" w:eastAsia="Calibri" w:hAnsi="Calibri"/>
          <w:color w:val="5C6678"/>
          <w:sz w:val="23"/>
          <w:szCs w:val="23"/>
        </w:rPr>
        <w:t xml:space="preserve">The back half of the journey: a number is entered, a second person checks it, and a pathologist puts their name on it. This lesson covers the three stages where a raw measurement becomes a trusted, delivered clinical report.</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entering numerical results and interpreting LabOS's flagging system, the two-person validation process that follows, and report release including delivery channels and amendments. By the end, a learner should understand not just how to perform each of these three stages, but why each one exists as a distinct, separately-accountable step rather than being collapsed into a single "enter and send" action.</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laboratory result carries real clinical weight the moment it's entered — a clinician may make a treatment decision based on it within minutes of release. This is precisely why the back half of the workflow is built around independent verification rather than speed: a single person entering a result and immediately releasing it removes every opportunity to catch a transcription error, a sample mix-up, or a value that's simply implausible given the patient's history, before that value reaches someone who will act on it. The two-person validation step and the formal release-and-sign process exist because the cost of a wrong result reaching a clinician is categorically higher than the cost of a few extra minutes spent on a second look.</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result-entry screen: pre-populated age- and sex-specific reference ranges, manual entry or paste from an analyser.</w:t>
      </w:r>
    </w:p>
    <w:p>
      <w:pPr>
        <w:pStyle w:val="ListParagraph"/>
        <w:numPr>
          <w:ilvl w:val="0"/>
          <w:numId w:val="3"/>
        </w:numPr>
        <w:spacing w:after="90"/>
      </w:pPr>
      <w:r>
        <w:rPr>
          <w:rFonts w:ascii="Calibri" w:cs="Calibri" w:eastAsia="Calibri" w:hAnsi="Calibri"/>
          <w:color w:val="5C6678"/>
          <w:sz w:val="21"/>
          <w:szCs w:val="21"/>
        </w:rPr>
        <w:t xml:space="preserve">The four-tier flagging system: Normal, H/L, HH/LL, CRIT.</w:t>
      </w:r>
    </w:p>
    <w:p>
      <w:pPr>
        <w:pStyle w:val="ListParagraph"/>
        <w:numPr>
          <w:ilvl w:val="0"/>
          <w:numId w:val="3"/>
        </w:numPr>
        <w:spacing w:after="90"/>
      </w:pPr>
      <w:r>
        <w:rPr>
          <w:rFonts w:ascii="Calibri" w:cs="Calibri" w:eastAsia="Calibri" w:hAnsi="Calibri"/>
          <w:color w:val="5C6678"/>
          <w:sz w:val="21"/>
          <w:szCs w:val="21"/>
        </w:rPr>
        <w:t xml:space="preserve">Delta-check warnings: triggered when a new value differs from a same-test result within the last 30 days by more than 30%.</w:t>
      </w:r>
    </w:p>
    <w:p>
      <w:pPr>
        <w:pStyle w:val="ListParagraph"/>
        <w:numPr>
          <w:ilvl w:val="0"/>
          <w:numId w:val="3"/>
        </w:numPr>
        <w:spacing w:after="90"/>
      </w:pPr>
      <w:r>
        <w:rPr>
          <w:rFonts w:ascii="Calibri" w:cs="Calibri" w:eastAsia="Calibri" w:hAnsi="Calibri"/>
          <w:color w:val="5C6678"/>
          <w:sz w:val="21"/>
          <w:szCs w:val="21"/>
        </w:rPr>
        <w:t xml:space="preserve">Two-person validation: role requirement (MED_LAB_SCIENTIST or above), the rule that the original entry-person cannot self-validate, and the approve/reject-with-reason outcomes.</w:t>
      </w:r>
    </w:p>
    <w:p>
      <w:pPr>
        <w:pStyle w:val="ListParagraph"/>
        <w:numPr>
          <w:ilvl w:val="0"/>
          <w:numId w:val="3"/>
        </w:numPr>
        <w:spacing w:after="90"/>
      </w:pPr>
      <w:r>
        <w:rPr>
          <w:rFonts w:ascii="Calibri" w:cs="Calibri" w:eastAsia="Calibri" w:hAnsi="Calibri"/>
          <w:color w:val="5C6678"/>
          <w:sz w:val="21"/>
          <w:szCs w:val="21"/>
        </w:rPr>
        <w:t xml:space="preserve">Report release: pathologist or lab director review, 2FA confirmation, and report sealing.</w:t>
      </w:r>
    </w:p>
    <w:p>
      <w:pPr>
        <w:pStyle w:val="ListParagraph"/>
        <w:numPr>
          <w:ilvl w:val="0"/>
          <w:numId w:val="3"/>
        </w:numPr>
        <w:spacing w:after="90"/>
      </w:pPr>
      <w:r>
        <w:rPr>
          <w:rFonts w:ascii="Calibri" w:cs="Calibri" w:eastAsia="Calibri" w:hAnsi="Calibri"/>
          <w:color w:val="5C6678"/>
          <w:sz w:val="21"/>
          <w:szCs w:val="21"/>
        </w:rPr>
        <w:t xml:space="preserve">Delivery channels: patient portal link (QR-code-protected, 6-month validity), WhatsApp, SMS via Termii, email via SendGrid, and print.</w:t>
      </w:r>
    </w:p>
    <w:p>
      <w:pPr>
        <w:pStyle w:val="ListParagraph"/>
        <w:numPr>
          <w:ilvl w:val="0"/>
          <w:numId w:val="3"/>
        </w:numPr>
        <w:spacing w:after="90"/>
      </w:pPr>
      <w:r>
        <w:rPr>
          <w:rFonts w:ascii="Calibri" w:cs="Calibri" w:eastAsia="Calibri" w:hAnsi="Calibri"/>
          <w:color w:val="5C6678"/>
          <w:sz w:val="21"/>
          <w:szCs w:val="21"/>
        </w:rPr>
        <w:t xml:space="preserve">Amending a released report: versioned, flagged "AMENDED," showing both old and new values, automatically resent to original recipients.</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Entering a result and reading the flags correctly</w:t>
      </w:r>
    </w:p>
    <w:p>
      <w:pPr>
        <w:spacing w:after="160"/>
      </w:pPr>
      <w:r>
        <w:rPr>
          <w:rFonts w:ascii="Calibri" w:cs="Calibri" w:eastAsia="Calibri" w:hAnsi="Calibri"/>
          <w:color w:val="5C6678"/>
          <w:sz w:val="21"/>
          <w:szCs w:val="21"/>
        </w:rPr>
        <w:t xml:space="preserve">From Results management, opening a request and clicking Enter results shows each analyte with its reference range already pre-populated specifically for that patient's age and sex — the same age/sex dependency introduced back in Module 2's discussion of why those registration fields matter. A value can be typed manually or pasted directly from a connected analyser. LabOS then applies one of four flags automatically: Normal, meaning within reference range, carries no flag at all; H or L means the value is above or below the reference range but not dangerously so; HH or LL means the value has crossed a further panic-value threshold, a more serious tier than a simple H or L; and CRIT means the value meets the specific critical-callback criteria covered in Module 1 and detailed further in Module 7 — a CRIT flag locks the result from release entirely until the critical-result protocol completes.</w:t>
      </w:r>
    </w:p>
    <w:p>
      <w:pPr>
        <w:spacing w:after="100" w:before="220"/>
      </w:pPr>
      <w:r>
        <w:rPr>
          <w:rFonts w:ascii="Calibri" w:cs="Calibri" w:eastAsia="Calibri" w:hAnsi="Calibri"/>
          <w:b/>
          <w:bCs/>
          <w:color w:val="0E1F33"/>
          <w:sz w:val="20"/>
          <w:szCs w:val="20"/>
        </w:rPr>
        <w:t xml:space="preserve">Taking a delta-check warning seriously</w:t>
      </w:r>
    </w:p>
    <w:p>
      <w:pPr>
        <w:spacing w:after="160"/>
      </w:pPr>
      <w:r>
        <w:rPr>
          <w:rFonts w:ascii="Calibri" w:cs="Calibri" w:eastAsia="Calibri" w:hAnsi="Calibri"/>
          <w:color w:val="5C6678"/>
          <w:sz w:val="21"/>
          <w:szCs w:val="21"/>
        </w:rPr>
        <w:t xml:space="preserve">Every result accepts a free-text comment, which is worth using whenever something about a result is noteworthy. Separately, if the same patient has a result for the same test within the last 30 days and the new value differs by more than 30%, LabOS surfaces a delta-check warning before the new value can be saved. This is not a hard block — it's a deliberate pause, prompting the scientist to verify the value is genuinely correct before proceeding. A large swing can be entirely legitimate (a real, rapid clinical change) or it can indicate a sample mix-up, an entry error, or an analyser issue — the delta-check exists to make sure a human consciously decides which of those is true, rather than the system silently accepting an unusual jump without anyone noticing.</w:t>
      </w:r>
    </w:p>
    <w:p>
      <w:pPr>
        <w:spacing w:after="100" w:before="220"/>
      </w:pPr>
      <w:r>
        <w:rPr>
          <w:rFonts w:ascii="Calibri" w:cs="Calibri" w:eastAsia="Calibri" w:hAnsi="Calibri"/>
          <w:b/>
          <w:bCs/>
          <w:color w:val="0E1F33"/>
          <w:sz w:val="20"/>
          <w:szCs w:val="20"/>
        </w:rPr>
        <w:t xml:space="preserve">What a validator is actually being asked to do</w:t>
      </w:r>
    </w:p>
    <w:p>
      <w:pPr>
        <w:spacing w:after="160"/>
      </w:pPr>
      <w:r>
        <w:rPr>
          <w:rFonts w:ascii="Calibri" w:cs="Calibri" w:eastAsia="Calibri" w:hAnsi="Calibri"/>
          <w:color w:val="5C6678"/>
          <w:sz w:val="21"/>
          <w:szCs w:val="21"/>
        </w:rPr>
        <w:t xml:space="preserve">Two-person validation means a second user, independent of the original entry, must review and approve a result before it can proceed toward release — and that validator must hold at least MED_LAB_SCIENTIST-level access, with the original entry-person explicitly barred from validating their own work, no exceptions. In practice: Scientist A enters and saves a result, moving its status to Awaiting validation. Scientist B then opens Results management, finds it under Awaiting validation, and reviews both the entered value and the original sample condition notes from collection. Scientist B's job here is not to re-measure anything — it's to apply a second, informed judgment to the same evidence: does this value make clinical sense, does it align with the patient's history, and does anything in the condition notes (haemolysis, a fasting issue) suggest the result should be questioned before it goes further? Scientist B either approves, moving the status to Awaiting release, or rejects with a stated reason, moving it to Re-run required — the rerun mechanics themselves are covered fully in Module 7.</w:t>
      </w:r>
    </w:p>
    <w:p>
      <w:pPr>
        <w:spacing w:after="100" w:before="220"/>
      </w:pPr>
      <w:r>
        <w:rPr>
          <w:rFonts w:ascii="Calibri" w:cs="Calibri" w:eastAsia="Calibri" w:hAnsi="Calibri"/>
          <w:b/>
          <w:bCs/>
          <w:color w:val="0E1F33"/>
          <w:sz w:val="20"/>
          <w:szCs w:val="20"/>
        </w:rPr>
        <w:t xml:space="preserve">Releasing the report and getting it to the right person</w:t>
      </w:r>
    </w:p>
    <w:p>
      <w:pPr>
        <w:spacing w:after="160"/>
      </w:pPr>
      <w:r>
        <w:rPr>
          <w:rFonts w:ascii="Calibri" w:cs="Calibri" w:eastAsia="Calibri" w:hAnsi="Calibri"/>
          <w:color w:val="5C6678"/>
          <w:sz w:val="21"/>
          <w:szCs w:val="21"/>
        </w:rPr>
        <w:t xml:space="preserve">Once validated, the pathologist or lab director opens the report preview, reviews the values and any comments, and clicks Release report. A 2FA prompt confirms the action — deliberately mirroring the account-level 2FA from Module 1, because this is, in effect, the single most consequential click in the entire patient journey. Once confirmed, the report is sealed and delivered through whichever channels are appropriate: every report receives a unique, QR-code-protected patient portal link valid for six months; WhatsApp delivery happens automatically if the patient consented at registration; SMS goes out via Termii with a link to the portal; email goes out via SendGrid with the PDF attached; and print remains available for patients who prefer paper. Offering this range of channels, rather than a single fixed delivery method, reflects a simple operational reality: not every patient has reliable data access, and not every patient wants their result sent the same way.</w:t>
      </w:r>
    </w:p>
    <w:p>
      <w:pPr>
        <w:spacing w:after="100" w:before="220"/>
      </w:pPr>
      <w:r>
        <w:rPr>
          <w:rFonts w:ascii="Calibri" w:cs="Calibri" w:eastAsia="Calibri" w:hAnsi="Calibri"/>
          <w:b/>
          <w:bCs/>
          <w:color w:val="0E1F33"/>
          <w:sz w:val="20"/>
          <w:szCs w:val="20"/>
        </w:rPr>
        <w:t xml:space="preserve">Correcting an error after release</w:t>
      </w:r>
    </w:p>
    <w:p>
      <w:pPr>
        <w:spacing w:after="160"/>
      </w:pPr>
      <w:r>
        <w:rPr>
          <w:rFonts w:ascii="Calibri" w:cs="Calibri" w:eastAsia="Calibri" w:hAnsi="Calibri"/>
          <w:color w:val="5C6678"/>
          <w:sz w:val="21"/>
          <w:szCs w:val="21"/>
        </w:rPr>
        <w:t xml:space="preserve">A released report cannot simply be edited — that restriction exists for the same audit-integrity reason the hash-chained logs from Modules 1 and 2 exist: once something has been delivered and potentially acted on, silently changing it would destroy the reliability of the record. Instead, correcting an error requires issuing a formal Amended report — a new, separately versioned PDF, explicitly flagged "AMENDED," showing both the original and the corrected value side by side, and automatically sent to every recipient who received the original. This means an amendment is never quieter or less visible than the mistake it's correcting — anyone who saw the wrong value is guaranteed to also see the correction.</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Use the result comment field whenever a value is borderline or has relevant context, even if it doesn't trigger an automatic flag — comments help the validator and, later, anyone reviewing the audit trail.</w:t>
      </w:r>
    </w:p>
    <w:p>
      <w:pPr>
        <w:pStyle w:val="ListParagraph"/>
        <w:numPr>
          <w:ilvl w:val="0"/>
          <w:numId w:val="3"/>
        </w:numPr>
        <w:spacing w:after="90"/>
      </w:pPr>
      <w:r>
        <w:rPr>
          <w:rFonts w:ascii="Calibri" w:cs="Calibri" w:eastAsia="Calibri" w:hAnsi="Calibri"/>
          <w:color w:val="5C6678"/>
          <w:sz w:val="21"/>
          <w:szCs w:val="21"/>
        </w:rPr>
        <w:t xml:space="preserve">Treat a delta-check warning as a required pause for genuine clinical judgment, not paperwork to click through.</w:t>
      </w:r>
    </w:p>
    <w:p>
      <w:pPr>
        <w:pStyle w:val="ListParagraph"/>
        <w:numPr>
          <w:ilvl w:val="0"/>
          <w:numId w:val="3"/>
        </w:numPr>
        <w:spacing w:after="90"/>
      </w:pPr>
      <w:r>
        <w:rPr>
          <w:rFonts w:ascii="Calibri" w:cs="Calibri" w:eastAsia="Calibri" w:hAnsi="Calibri"/>
          <w:color w:val="5C6678"/>
          <w:sz w:val="21"/>
          <w:szCs w:val="21"/>
        </w:rPr>
        <w:t xml:space="preserve">As a validator, always review the original sample condition notes alongside the value itself — a haemolysis or fasting note can be the deciding factor in an approve/reject decision.</w:t>
      </w:r>
    </w:p>
    <w:p>
      <w:pPr>
        <w:pStyle w:val="ListParagraph"/>
        <w:numPr>
          <w:ilvl w:val="0"/>
          <w:numId w:val="3"/>
        </w:numPr>
        <w:spacing w:after="90"/>
      </w:pPr>
      <w:r>
        <w:rPr>
          <w:rFonts w:ascii="Calibri" w:cs="Calibri" w:eastAsia="Calibri" w:hAnsi="Calibri"/>
          <w:color w:val="5C6678"/>
          <w:sz w:val="21"/>
          <w:szCs w:val="21"/>
        </w:rPr>
        <w:t xml:space="preserve">Confirm patient delivery-channel consent is accurate and current at registration (per Module 2), since it directly determines which release channels are actually available for that patient.</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delta-check warnings as a nuisance to dismiss quickly rather than a genuine decision point.</w:t>
      </w:r>
    </w:p>
    <w:p>
      <w:pPr>
        <w:pStyle w:val="ListParagraph"/>
        <w:numPr>
          <w:ilvl w:val="0"/>
          <w:numId w:val="3"/>
        </w:numPr>
        <w:spacing w:after="90"/>
      </w:pPr>
      <w:r>
        <w:rPr>
          <w:rFonts w:ascii="Calibri" w:cs="Calibri" w:eastAsia="Calibri" w:hAnsi="Calibri"/>
          <w:color w:val="5C6678"/>
          <w:sz w:val="21"/>
          <w:szCs w:val="21"/>
        </w:rPr>
        <w:t xml:space="preserve">A validator approving a result without reviewing the original sample condition notes, missing context that would have changed the decision.</w:t>
      </w:r>
    </w:p>
    <w:p>
      <w:pPr>
        <w:pStyle w:val="ListParagraph"/>
        <w:numPr>
          <w:ilvl w:val="0"/>
          <w:numId w:val="3"/>
        </w:numPr>
        <w:spacing w:after="90"/>
      </w:pPr>
      <w:r>
        <w:rPr>
          <w:rFonts w:ascii="Calibri" w:cs="Calibri" w:eastAsia="Calibri" w:hAnsi="Calibri"/>
          <w:color w:val="5C6678"/>
          <w:sz w:val="21"/>
          <w:szCs w:val="21"/>
        </w:rPr>
        <w:t xml:space="preserve">Confusion or frustration when a released report "can't be edited" — not realising this is an intentional integrity safeguard with a correct, equally valid path (the Amended report) rather than a system limitation.</w:t>
      </w:r>
    </w:p>
    <w:p>
      <w:pPr>
        <w:pStyle w:val="ListParagraph"/>
        <w:numPr>
          <w:ilvl w:val="0"/>
          <w:numId w:val="3"/>
        </w:numPr>
        <w:spacing w:after="90"/>
      </w:pPr>
      <w:r>
        <w:rPr>
          <w:rFonts w:ascii="Calibri" w:cs="Calibri" w:eastAsia="Calibri" w:hAnsi="Calibri"/>
          <w:color w:val="5C6678"/>
          <w:sz w:val="21"/>
          <w:szCs w:val="21"/>
        </w:rPr>
        <w:t xml:space="preserve">Assuming an amendment is somehow less visible or less official than the original report, when it is in fact automatically and explicitly resent to every original recipient.</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3.3 — COMPLETE THE BACK HALF</w:t>
            </w:r>
          </w:p>
          <w:p>
            <w:r>
              <w:rPr>
                <w:rFonts w:ascii="Calibri" w:cs="Calibri" w:eastAsia="Calibri" w:hAnsi="Calibri"/>
                <w:i/>
                <w:iCs/>
                <w:color w:val="0E1F33"/>
                <w:sz w:val="21"/>
                <w:szCs w:val="21"/>
              </w:rPr>
              <w:t xml:space="preserve">In a sandbox LabOS environment, using the request you created in Exercise 3.2 (or a new one), enter results for at least three different analytes such that you produce one Normal flag and at least one H/L or HH/LL flag. If your sandbox supports it, enter a second result for a test the same patient already has on file within 30 days, with a value more than 30% different, and observe the delta-check warning. Using a second sandbox account at MED_LAB_SCIENTIST level or above, validate the result. Using a pathologist or lab director sandbox account, release the report, and identify which delivery channels were actually used based on the patient's registration consent. Finally, issue an Amended report changing one value, and confirm the amendment clearly shows both the original and corrected values.</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What is the practical difference between an H/L flag and an HH/LL flag, and why does the distinction matter?</w:t>
      </w:r>
    </w:p>
    <w:p>
      <w:pPr>
        <w:spacing w:after="60"/>
      </w:pPr>
      <w:r>
        <w:rPr>
          <w:rFonts w:ascii="Calibri" w:cs="Calibri" w:eastAsia="Calibri" w:hAnsi="Calibri"/>
          <w:color w:val="5C6678"/>
          <w:sz w:val="20"/>
          <w:szCs w:val="20"/>
        </w:rPr>
        <w:t xml:space="preserve">H/L means a value is outside the normal reference range but not at a dangerous extreme; HH/LL means it has crossed a further panic-value threshold — the distinction matters because it signals a different level of clinical urgency, even though neither one is automatically a CRIT lock the way a critical-callback result would be.</w:t>
      </w:r>
    </w:p>
    <w:p>
      <w:pPr>
        <w:spacing w:after="50" w:before="140"/>
      </w:pPr>
      <w:r>
        <w:rPr>
          <w:rFonts w:ascii="Calibri" w:cs="Calibri" w:eastAsia="Calibri" w:hAnsi="Calibri"/>
          <w:b/>
          <w:bCs/>
          <w:color w:val="0E1F33"/>
          <w:sz w:val="21"/>
          <w:szCs w:val="21"/>
        </w:rPr>
        <w:t xml:space="preserve">2. Why is the original entry-person explicitly barred from validating their own result, even if they are fully qualified to do so?</w:t>
      </w:r>
    </w:p>
    <w:p>
      <w:pPr>
        <w:spacing w:after="60"/>
      </w:pPr>
      <w:r>
        <w:rPr>
          <w:rFonts w:ascii="Calibri" w:cs="Calibri" w:eastAsia="Calibri" w:hAnsi="Calibri"/>
          <w:color w:val="5C6678"/>
          <w:sz w:val="20"/>
          <w:szCs w:val="20"/>
        </w:rPr>
        <w:t xml:space="preserve">Because the entire purpose of two-person validation is independent verification — allowing self-validation would defeat that purpose regardless of the individual's competence, since the value of a second check comes specifically from it being a different, independent perspective on the same evidence.</w:t>
      </w:r>
    </w:p>
    <w:p>
      <w:pPr>
        <w:spacing w:after="50" w:before="140"/>
      </w:pPr>
      <w:r>
        <w:rPr>
          <w:rFonts w:ascii="Calibri" w:cs="Calibri" w:eastAsia="Calibri" w:hAnsi="Calibri"/>
          <w:b/>
          <w:bCs/>
          <w:color w:val="0E1F33"/>
          <w:sz w:val="21"/>
          <w:szCs w:val="21"/>
        </w:rPr>
        <w:t xml:space="preserve">3. A pathologist needs to correct a value on a report that was released yesterday and already sent to the referring clinician. What is the correct action, and what happens automatically as a result?</w:t>
      </w:r>
    </w:p>
    <w:p>
      <w:pPr>
        <w:spacing w:after="60"/>
      </w:pPr>
      <w:r>
        <w:rPr>
          <w:rFonts w:ascii="Calibri" w:cs="Calibri" w:eastAsia="Calibri" w:hAnsi="Calibri"/>
          <w:color w:val="5C6678"/>
          <w:sz w:val="20"/>
          <w:szCs w:val="20"/>
        </w:rPr>
        <w:t xml:space="preserve">Issue an Amended report rather than attempting to edit the original — this creates a new, separately versioned PDF flagged "AMENDED" showing both the old and new values, and LabOS automatically resends it to everyone who received the original report, ensuring the correction is at least as visible as the mistake.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3.3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"From Result to Released Report" — CLA Module 3,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enter results, interpret all four flag tiers, perform two-person validation correctly, and release and amend a report appropriately.</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 (final and longest video in this module, closing out Level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using two distinct sandbox accounts (scientist and validator) to make the role separation visually concrete</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"A number just became a clinical decision. Let's make sure it's the right one."</w:t>
      </w:r>
    </w:p>
    <w:p>
      <w:pPr>
        <w:pStyle w:val="ListParagraph"/>
        <w:numPr>
          <w:ilvl w:val="0"/>
          <w:numId w:val="8"/>
        </w:numPr>
        <w:spacing w:after="90"/>
      </w:pPr>
      <w:r>
        <w:rPr>
          <w:rFonts w:ascii="Calibri" w:cs="Calibri" w:eastAsia="Calibri" w:hAnsi="Calibri"/>
          <w:color w:val="5C6678"/>
          <w:sz w:val="21"/>
          <w:szCs w:val="21"/>
        </w:rPr>
        <w:t xml:space="preserve">Result entry demo: pre-populated ranges, manual entry, paste from analyser (0:40–2:30).</w:t>
      </w:r>
    </w:p>
    <w:p>
      <w:pPr>
        <w:pStyle w:val="ListParagraph"/>
        <w:numPr>
          <w:ilvl w:val="0"/>
          <w:numId w:val="8"/>
        </w:numPr>
        <w:spacing w:after="90"/>
      </w:pPr>
      <w:r>
        <w:rPr>
          <w:rFonts w:ascii="Calibri" w:cs="Calibri" w:eastAsia="Calibri" w:hAnsi="Calibri"/>
          <w:color w:val="5C6678"/>
          <w:sz w:val="21"/>
          <w:szCs w:val="21"/>
        </w:rPr>
        <w:t xml:space="preserve">All four flags explained against real example values, on screen (2:30–4:30).</w:t>
      </w:r>
    </w:p>
    <w:p>
      <w:pPr>
        <w:pStyle w:val="ListParagraph"/>
        <w:numPr>
          <w:ilvl w:val="0"/>
          <w:numId w:val="8"/>
        </w:numPr>
        <w:spacing w:after="90"/>
      </w:pPr>
      <w:r>
        <w:rPr>
          <w:rFonts w:ascii="Calibri" w:cs="Calibri" w:eastAsia="Calibri" w:hAnsi="Calibri"/>
          <w:color w:val="5C6678"/>
          <w:sz w:val="21"/>
          <w:szCs w:val="21"/>
        </w:rPr>
        <w:t xml:space="preserve">Delta-check warning demo: trigger it deliberately, explain the decision point (4:30–6:00).</w:t>
      </w:r>
    </w:p>
    <w:p>
      <w:pPr>
        <w:pStyle w:val="ListParagraph"/>
        <w:numPr>
          <w:ilvl w:val="0"/>
          <w:numId w:val="8"/>
        </w:numPr>
        <w:spacing w:after="90"/>
      </w:pPr>
      <w:r>
        <w:rPr>
          <w:rFonts w:ascii="Calibri" w:cs="Calibri" w:eastAsia="Calibri" w:hAnsi="Calibri"/>
          <w:color w:val="5C6678"/>
          <w:sz w:val="21"/>
          <w:szCs w:val="21"/>
        </w:rPr>
        <w:t xml:space="preserve">Two-person validation, using a visibly different second account: review, approve (6:00–8:30).</w:t>
      </w:r>
    </w:p>
    <w:p>
      <w:pPr>
        <w:pStyle w:val="ListParagraph"/>
        <w:numPr>
          <w:ilvl w:val="0"/>
          <w:numId w:val="8"/>
        </w:numPr>
        <w:spacing w:after="90"/>
      </w:pPr>
      <w:r>
        <w:rPr>
          <w:rFonts w:ascii="Calibri" w:cs="Calibri" w:eastAsia="Calibri" w:hAnsi="Calibri"/>
          <w:color w:val="5C6678"/>
          <w:sz w:val="21"/>
          <w:szCs w:val="21"/>
        </w:rPr>
        <w:t xml:space="preserve">Report release: 2FA confirmation, delivery channels shown (8:30–10:00).</w:t>
      </w:r>
    </w:p>
    <w:p>
      <w:pPr>
        <w:pStyle w:val="ListParagraph"/>
        <w:numPr>
          <w:ilvl w:val="0"/>
          <w:numId w:val="8"/>
        </w:numPr>
        <w:spacing w:after="90"/>
      </w:pPr>
      <w:r>
        <w:rPr>
          <w:rFonts w:ascii="Calibri" w:cs="Calibri" w:eastAsia="Calibri" w:hAnsi="Calibri"/>
          <w:color w:val="5C6678"/>
          <w:sz w:val="21"/>
          <w:szCs w:val="21"/>
        </w:rPr>
        <w:t xml:space="preserve">Amendment demo: correct a value, show the resulting AMENDED-flagged PDF and resend (10:00–11:30).</w:t>
      </w:r>
    </w:p>
    <w:p>
      <w:pPr>
        <w:pStyle w:val="ListParagraph"/>
        <w:numPr>
          <w:ilvl w:val="0"/>
          <w:numId w:val="8"/>
        </w:numPr>
        <w:spacing w:after="90"/>
      </w:pPr>
      <w:r>
        <w:rPr>
          <w:rFonts w:ascii="Calibri" w:cs="Calibri" w:eastAsia="Calibri" w:hAnsi="Calibri"/>
          <w:color w:val="5C6678"/>
          <w:sz w:val="21"/>
          <w:szCs w:val="21"/>
        </w:rPr>
        <w:t xml:space="preserve">Close + Level 1 wrap-up, transition to Level 2 / Module 4 (11:30–end).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When the CRIT flag is mentioned, briefly call back explicitly: "Remember this lock from Module 1? We'll go much deeper on the full protocol behind it in Module 7."</w:t>
      </w:r>
    </w:p>
    <w:p>
      <w:pPr>
        <w:pStyle w:val="ListParagraph"/>
        <w:numPr>
          <w:ilvl w:val="0"/>
          <w:numId w:val="3"/>
        </w:numPr>
        <w:spacing w:after="90"/>
      </w:pPr>
      <w:r>
        <w:rPr>
          <w:rFonts w:ascii="Calibri" w:cs="Calibri" w:eastAsia="Calibri" w:hAnsi="Calibri"/>
          <w:color w:val="5C6678"/>
          <w:sz w:val="21"/>
          <w:szCs w:val="21"/>
        </w:rPr>
        <w:t xml:space="preserve">At the delta-check moment, narrate the genuine decision: "This could be a real clinical change, or it could be a mix-up — my job right now is to figure out which, not to just click past it."</w:t>
      </w:r>
    </w:p>
    <w:p>
      <w:pPr>
        <w:pStyle w:val="ListParagraph"/>
        <w:numPr>
          <w:ilvl w:val="0"/>
          <w:numId w:val="3"/>
        </w:numPr>
        <w:spacing w:after="90"/>
      </w:pPr>
      <w:r>
        <w:rPr>
          <w:rFonts w:ascii="Calibri" w:cs="Calibri" w:eastAsia="Calibri" w:hAnsi="Calibri"/>
          <w:color w:val="5C6678"/>
          <w:sz w:val="21"/>
          <w:szCs w:val="21"/>
        </w:rPr>
        <w:t xml:space="preserve">When switching to the second (validator) account, say so explicitly on camera: "I'm now logged in as a completely different scientist — notice I genuinely cannot validate my own entry from a moment ago."</w:t>
      </w:r>
    </w:p>
    <w:p>
      <w:pPr>
        <w:pStyle w:val="ListParagraph"/>
        <w:numPr>
          <w:ilvl w:val="0"/>
          <w:numId w:val="3"/>
        </w:numPr>
        <w:spacing w:after="90"/>
      </w:pPr>
      <w:r>
        <w:rPr>
          <w:rFonts w:ascii="Calibri" w:cs="Calibri" w:eastAsia="Calibri" w:hAnsi="Calibri"/>
          <w:color w:val="5C6678"/>
          <w:sz w:val="21"/>
          <w:szCs w:val="21"/>
        </w:rPr>
        <w:t xml:space="preserve">At the 2FA release moment, explicitly connect it to Module 1: "Same protection as your account login — because this is arguably the single most consequential click in this whole journey."</w:t>
      </w:r>
    </w:p>
    <w:p>
      <w:pPr>
        <w:pStyle w:val="ListParagraph"/>
        <w:numPr>
          <w:ilvl w:val="0"/>
          <w:numId w:val="3"/>
        </w:numPr>
        <w:spacing w:after="90"/>
      </w:pPr>
      <w:r>
        <w:rPr>
          <w:rFonts w:ascii="Calibri" w:cs="Calibri" w:eastAsia="Calibri" w:hAnsi="Calibri"/>
          <w:color w:val="5C6678"/>
          <w:sz w:val="21"/>
          <w:szCs w:val="21"/>
        </w:rPr>
        <w:t xml:space="preserve">Close Level 1 with a brief, deliberate moment of recap: "You've now walked the entire standard path, start to finish, twice — once quickly in Module 1, and now in real depth. Level 2 builds on top of all of this."</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Open the request from Exercise 3.2 in Results management, click Enter results.</w:t>
      </w:r>
    </w:p>
    <w:p>
      <w:pPr>
        <w:pStyle w:val="ListParagraph"/>
        <w:numPr>
          <w:ilvl w:val="0"/>
          <w:numId w:val="9"/>
        </w:numPr>
        <w:spacing w:after="90"/>
      </w:pPr>
      <w:r>
        <w:rPr>
          <w:rFonts w:ascii="Calibri" w:cs="Calibri" w:eastAsia="Calibri" w:hAnsi="Calibri"/>
          <w:color w:val="5C6678"/>
          <w:sz w:val="21"/>
          <w:szCs w:val="21"/>
        </w:rPr>
        <w:t xml:space="preserve">Enter a Normal-range value, then a value producing an H or L flag, narrating the reference range shown.</w:t>
      </w:r>
    </w:p>
    <w:p>
      <w:pPr>
        <w:pStyle w:val="ListParagraph"/>
        <w:numPr>
          <w:ilvl w:val="0"/>
          <w:numId w:val="9"/>
        </w:numPr>
        <w:spacing w:after="90"/>
      </w:pPr>
      <w:r>
        <w:rPr>
          <w:rFonts w:ascii="Calibri" w:cs="Calibri" w:eastAsia="Calibri" w:hAnsi="Calibri"/>
          <w:color w:val="5C6678"/>
          <w:sz w:val="21"/>
          <w:szCs w:val="21"/>
        </w:rPr>
        <w:t xml:space="preserve">Enter a value producing an HH or LL flag, pointing out the visual difference from a simple H/L.</w:t>
      </w:r>
    </w:p>
    <w:p>
      <w:pPr>
        <w:pStyle w:val="ListParagraph"/>
        <w:numPr>
          <w:ilvl w:val="0"/>
          <w:numId w:val="9"/>
        </w:numPr>
        <w:spacing w:after="90"/>
      </w:pPr>
      <w:r>
        <w:rPr>
          <w:rFonts w:ascii="Calibri" w:cs="Calibri" w:eastAsia="Calibri" w:hAnsi="Calibri"/>
          <w:color w:val="5C6678"/>
          <w:sz w:val="21"/>
          <w:szCs w:val="21"/>
        </w:rPr>
        <w:t xml:space="preserve">Enter a second value for an existing test within 30 days, more than 30% different, show the delta-check warning appearing.</w:t>
      </w:r>
    </w:p>
    <w:p>
      <w:pPr>
        <w:pStyle w:val="ListParagraph"/>
        <w:numPr>
          <w:ilvl w:val="0"/>
          <w:numId w:val="9"/>
        </w:numPr>
        <w:spacing w:after="90"/>
      </w:pPr>
      <w:r>
        <w:rPr>
          <w:rFonts w:ascii="Calibri" w:cs="Calibri" w:eastAsia="Calibri" w:hAnsi="Calibri"/>
          <w:color w:val="5C6678"/>
          <w:sz w:val="21"/>
          <w:szCs w:val="21"/>
        </w:rPr>
        <w:t xml:space="preserve">Log out, log in as a second sandbox account (MED_LAB_SCIENTIST or above), open Awaiting validation, review the result and condition notes, click Approve.</w:t>
      </w:r>
    </w:p>
    <w:p>
      <w:pPr>
        <w:pStyle w:val="ListParagraph"/>
        <w:numPr>
          <w:ilvl w:val="0"/>
          <w:numId w:val="9"/>
        </w:numPr>
        <w:spacing w:after="90"/>
      </w:pPr>
      <w:r>
        <w:rPr>
          <w:rFonts w:ascii="Calibri" w:cs="Calibri" w:eastAsia="Calibri" w:hAnsi="Calibri"/>
          <w:color w:val="5C6678"/>
          <w:sz w:val="21"/>
          <w:szCs w:val="21"/>
        </w:rPr>
        <w:t xml:space="preserve">Log in as a pathologist/lab-director sandbox account, open the report preview, click Release report, complete the 2FA prompt.</w:t>
      </w:r>
    </w:p>
    <w:p>
      <w:pPr>
        <w:pStyle w:val="ListParagraph"/>
        <w:numPr>
          <w:ilvl w:val="0"/>
          <w:numId w:val="9"/>
        </w:numPr>
        <w:spacing w:after="90"/>
      </w:pPr>
      <w:r>
        <w:rPr>
          <w:rFonts w:ascii="Calibri" w:cs="Calibri" w:eastAsia="Calibri" w:hAnsi="Calibri"/>
          <w:color w:val="5C6678"/>
          <w:sz w:val="21"/>
          <w:szCs w:val="21"/>
        </w:rPr>
        <w:t xml:space="preserve">Show the resulting delivery — portal link, and at least one other channel (e.g., email with PDF attached).</w:t>
      </w:r>
    </w:p>
    <w:p>
      <w:pPr>
        <w:pStyle w:val="ListParagraph"/>
        <w:numPr>
          <w:ilvl w:val="0"/>
          <w:numId w:val="9"/>
        </w:numPr>
        <w:spacing w:after="90"/>
      </w:pPr>
      <w:r>
        <w:rPr>
          <w:rFonts w:ascii="Calibri" w:cs="Calibri" w:eastAsia="Calibri" w:hAnsi="Calibri"/>
          <w:color w:val="5C6678"/>
          <w:sz w:val="21"/>
          <w:szCs w:val="21"/>
        </w:rPr>
        <w:t xml:space="preserve">Open the released report, attempt to edit it directly (show this is blocked), then use Amend instead — change one value, show the resulting AMENDED PDF with both values visible.</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Four flag tiers: Normal, H/L, HH/LL, CRIT — each signals a different level of urgency.</w:t>
      </w:r>
    </w:p>
    <w:p>
      <w:pPr>
        <w:pStyle w:val="ListParagraph"/>
        <w:numPr>
          <w:ilvl w:val="0"/>
          <w:numId w:val="3"/>
        </w:numPr>
        <w:spacing w:after="90"/>
      </w:pPr>
      <w:r>
        <w:rPr>
          <w:rFonts w:ascii="Calibri" w:cs="Calibri" w:eastAsia="Calibri" w:hAnsi="Calibri"/>
          <w:color w:val="5C6678"/>
          <w:sz w:val="21"/>
          <w:szCs w:val="21"/>
        </w:rPr>
        <w:t xml:space="preserve">A delta-check warning is a decision point, not an error to dismiss.</w:t>
      </w:r>
    </w:p>
    <w:p>
      <w:pPr>
        <w:pStyle w:val="ListParagraph"/>
        <w:numPr>
          <w:ilvl w:val="0"/>
          <w:numId w:val="3"/>
        </w:numPr>
        <w:spacing w:after="90"/>
      </w:pPr>
      <w:r>
        <w:rPr>
          <w:rFonts w:ascii="Calibri" w:cs="Calibri" w:eastAsia="Calibri" w:hAnsi="Calibri"/>
          <w:color w:val="5C6678"/>
          <w:sz w:val="21"/>
          <w:szCs w:val="21"/>
        </w:rPr>
        <w:t xml:space="preserve">Validation requires a genuinely independent second person — self-validation is never permitted.</w:t>
      </w:r>
    </w:p>
    <w:p>
      <w:pPr>
        <w:pStyle w:val="ListParagraph"/>
        <w:numPr>
          <w:ilvl w:val="0"/>
          <w:numId w:val="3"/>
        </w:numPr>
        <w:spacing w:after="90"/>
      </w:pPr>
      <w:r>
        <w:rPr>
          <w:rFonts w:ascii="Calibri" w:cs="Calibri" w:eastAsia="Calibri" w:hAnsi="Calibri"/>
          <w:color w:val="5C6678"/>
          <w:sz w:val="21"/>
          <w:szCs w:val="21"/>
        </w:rPr>
        <w:t xml:space="preserve">Release uses 2FA confirmation — the most consequential action in the whole journey.</w:t>
      </w:r>
    </w:p>
    <w:p>
      <w:pPr>
        <w:pStyle w:val="ListParagraph"/>
        <w:numPr>
          <w:ilvl w:val="0"/>
          <w:numId w:val="3"/>
        </w:numPr>
        <w:spacing w:after="90"/>
      </w:pPr>
      <w:r>
        <w:rPr>
          <w:rFonts w:ascii="Calibri" w:cs="Calibri" w:eastAsia="Calibri" w:hAnsi="Calibri"/>
          <w:color w:val="5C6678"/>
          <w:sz w:val="21"/>
          <w:szCs w:val="21"/>
        </w:rPr>
        <w:t xml:space="preserve">Released reports can't be edited — only amended, visibly and automatically, to everyone who got the original.</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Four-tier flag reference card (Normal / H-L / HH-LL / CRIT) shown as a clean color-coded graphic, reused from this point forward across later modules for visual consistency.</w:t>
      </w:r>
    </w:p>
    <w:p>
      <w:pPr>
        <w:pStyle w:val="ListParagraph"/>
        <w:numPr>
          <w:ilvl w:val="0"/>
          <w:numId w:val="3"/>
        </w:numPr>
        <w:spacing w:after="90"/>
      </w:pPr>
      <w:r>
        <w:rPr>
          <w:rFonts w:ascii="Calibri" w:cs="Calibri" w:eastAsia="Calibri" w:hAnsi="Calibri"/>
          <w:color w:val="5C6678"/>
          <w:sz w:val="21"/>
          <w:szCs w:val="21"/>
        </w:rPr>
        <w:t xml:space="preserve">Split-screen during validation: Scientist A's entry on one side, Scientist B's independent review on the other, clearly two different logged-in identities.</w:t>
      </w:r>
    </w:p>
    <w:p>
      <w:pPr>
        <w:pStyle w:val="ListParagraph"/>
        <w:numPr>
          <w:ilvl w:val="0"/>
          <w:numId w:val="3"/>
        </w:numPr>
        <w:spacing w:after="90"/>
      </w:pPr>
      <w:r>
        <w:rPr>
          <w:rFonts w:ascii="Calibri" w:cs="Calibri" w:eastAsia="Calibri" w:hAnsi="Calibri"/>
          <w:color w:val="5C6678"/>
          <w:sz w:val="21"/>
          <w:szCs w:val="21"/>
        </w:rPr>
        <w:t xml:space="preserve">Side-by-side "Original" vs. "Amended" report mockup during the amendment demo, both values clearly visible.</w:t>
      </w:r>
    </w:p>
    <w:p>
      <w:r>
        <w:br w:type="page"/>
      </w:r>
    </w:p>
    <w:p>
      <w:pPr>
        <w:spacing w:after="60"/>
      </w:pPr>
      <w:r>
        <w:rPr>
          <w:rFonts w:ascii="Calibri" w:cs="Calibri" w:eastAsia="Calibri" w:hAnsi="Calibri"/>
          <w:b/>
          <w:bCs/>
          <w:color w:val="A8552E"/>
          <w:spacing w:val="14"/>
          <w:sz w:val="17"/>
          <w:szCs w:val="17"/>
        </w:rPr>
        <w:t xml:space="preserve">MODULE 3</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3 assessment confirms a learner can execute the full standard request-to-report journey competently and explain the reasoning behind each handoff — and, since this is the final module of Level 1, that they are genuinely ready to progress into Level 2's administrator-focused content.</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3.3 (result entry through release and amendment) unaided in a sandbox environment, using at least two distinct role accounts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"Identify one handoff in this module's workflow (collection→entry, entry→validation, or validation→release) and explain specifically what could go wrong if that handoff were removed and one person did both steps alone."</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 on knowledge checks, full completion of the practical task across the required multiple roles,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3 completes Level 1 — LabOS Essentials. A learner who has internalised the seven-stage pipeline, correct sample collection, and the entry-validation-release handoff chain is ready for Level 2, which shifts focus from performing the workflow to administering the environment it runs in: Module 4 covers staff, branches, and tenant configuration; Module 5 covers billing, which directly depends on the priority-fee and NHIS/policy-number concepts touched on in this module and Module 2; Module 6 covers core integrations, including the Termii and SendGrid delivery channels used for report release in this module. Level 3, much later in the program, returns directly to this module's territory in Module 7 — Workflow Exceptions &amp; Operational Control — covering everything deliberately set aside here: critical-result protocol in full, reruns, rejections, turnaround-time bottleneck management, and bulk operations.</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3: The Standard Test Request Workflow</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2026-06-21T18:17:34.823Z</dcterms:created>
  <dcterms:modified xsi:type="dcterms:W3CDTF">2026-06-21T18:17:34.823Z</dcterms:modified>
</cp:coreProperties>
</file>

<file path=docProps/custom.xml><?xml version="1.0" encoding="utf-8"?>
<Properties xmlns="http://schemas.openxmlformats.org/officeDocument/2006/custom-properties" xmlns:vt="http://schemas.openxmlformats.org/officeDocument/2006/docPropsVTypes"/>
</file>