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jc w:val="center"/>
      </w:pPr>
      <w:r>
        <w:drawing>
          <wp:inline distT="0" distB="0" distL="0" distR="0">
            <wp:extent cx="2286000" cy="1181100"/>
            <wp:effectExtent t="0" r="0" b="0" l="0"/>
            <wp:docPr id="1" name="logo" descr="logo" title="AgoroX 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1181100"/>
                    </a:xfrm>
                    <a:prstGeom prst="rect">
                      <a:avLst/>
                    </a:prstGeom>
                  </pic:spPr>
                </pic:pic>
              </a:graphicData>
            </a:graphic>
          </wp:inline>
        </w:drawing>
      </w:r>
    </w:p>
    <w:p>
      <w:pPr>
        <w:spacing w:before="560"/>
        <w:jc w:val="center"/>
      </w:pPr>
      <w:r>
        <w:rPr>
          <w:rFonts w:ascii="Calibri" w:cs="Calibri" w:eastAsia="Calibri" w:hAnsi="Calibri"/>
          <w:b/>
          <w:bCs/>
          <w:color w:val="0E1F33"/>
          <w:spacing w:val="18"/>
          <w:sz w:val="48"/>
          <w:szCs w:val="48"/>
        </w:rPr>
        <w:t xml:space="preserve">AGOROX ACADEMY</w:t>
      </w:r>
    </w:p>
    <w:p>
      <w:pPr>
        <w:spacing w:before="160"/>
        <w:jc w:val="center"/>
      </w:pPr>
      <w:r>
        <w:rPr>
          <w:rFonts w:ascii="Calibri" w:cs="Calibri" w:eastAsia="Calibri" w:hAnsi="Calibri"/>
          <w:color w:val="A8552E"/>
          <w:sz w:val="26"/>
          <w:szCs w:val="26"/>
        </w:rPr>
        <w:t xml:space="preserve">Certified LabOS Administrator (CLA)</w:t>
      </w:r>
    </w:p>
    <w:p>
      <w:pPr>
        <w:spacing w:before="100"/>
        <w:jc w:val="center"/>
      </w:pPr>
      <w:r>
        <w:rPr>
          <w:rFonts w:ascii="Calibri" w:cs="Calibri" w:eastAsia="Calibri" w:hAnsi="Calibri"/>
          <w:b/>
          <w:bCs/>
          <w:color w:val="0E1F33"/>
          <w:sz w:val="24"/>
          <w:szCs w:val="24"/>
        </w:rPr>
        <w:t xml:space="preserve">Module 4 — Staff, Branches &amp; Tenant Configuration</w:t>
      </w:r>
    </w:p>
    <w:p>
      <w:pPr>
        <w:spacing w:before="140"/>
        <w:jc w:val="center"/>
      </w:pPr>
      <w:r>
        <w:rPr>
          <w:rFonts w:ascii="Calibri" w:cs="Calibri" w:eastAsia="Calibri" w:hAnsi="Calibri"/>
          <w:i/>
          <w:iCs/>
          <w:color w:val="5C6678"/>
          <w:sz w:val="17"/>
          <w:szCs w:val="17"/>
        </w:rPr>
        <w:t xml:space="preserve">Production-Ready Training Content — Instructor-Led, Self-Paced &amp; Video Script Package</w:t>
      </w:r>
    </w:p>
    <w:p>
      <w:pPr>
        <w:pBdr>
          <w:top w:val="single" w:color="D8DCE2" w:sz="6" w:space="14"/>
        </w:pBdr>
        <w:spacing w:before="1500"/>
        <w:jc w:val="center"/>
      </w:pPr>
      <w:r>
        <w:rPr>
          <w:rFonts w:ascii="Calibri" w:cs="Calibri" w:eastAsia="Calibri" w:hAnsi="Calibri"/>
          <w:color w:val="8C95A6"/>
          <w:sz w:val="18"/>
          <w:szCs w:val="18"/>
        </w:rPr>
        <w:t xml:space="preserve">AgoroX Technologies · Ibadan, Nigeria · 2026</w:t>
      </w:r>
    </w:p>
    <w:p>
      <w:r>
        <w:br w:type="page"/>
      </w:r>
    </w:p>
    <w:p>
      <w:pPr>
        <w:pStyle w:val="Heading1"/>
      </w:pPr>
      <w:r>
        <w:rPr>
          <w:rFonts w:ascii="Calibri" w:cs="Calibri" w:eastAsia="Calibri" w:hAnsi="Calibri"/>
        </w:rPr>
        <w:t xml:space="preserve">Table of Contents</w:t>
      </w:r>
    </w:p>
    <w:p>
      <w:pPr>
        <w:spacing w:after="12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60"/>
      </w:pPr>
      <w:r>
        <w:rPr>
          <w:rFonts w:ascii="Calibri" w:cs="Calibri" w:eastAsia="Calibri" w:hAnsi="Calibri"/>
          <w:b/>
          <w:bCs/>
          <w:color w:val="A8552E"/>
          <w:spacing w:val="14"/>
          <w:sz w:val="17"/>
          <w:szCs w:val="17"/>
        </w:rPr>
        <w:t xml:space="preserve">MODULE 4 OF 11 · LABOS ADMINISTRATOR (LEVEL 2)</w:t>
      </w:r>
    </w:p>
    <w:p>
      <w:pPr>
        <w:pStyle w:val="Heading1"/>
      </w:pPr>
      <w:r>
        <w:rPr>
          <w:rFonts w:ascii="Calibri" w:cs="Calibri" w:eastAsia="Calibri" w:hAnsi="Calibri"/>
        </w:rPr>
        <w:t xml:space="preserve">Module Overview</w:t>
      </w:r>
    </w:p>
    <w:p>
      <w:pPr>
        <w:spacing w:after="200"/>
      </w:pPr>
      <w:r>
        <w:rPr>
          <w:rFonts w:ascii="Calibri" w:cs="Calibri" w:eastAsia="Calibri" w:hAnsi="Calibri"/>
          <w:color w:val="5C6678"/>
          <w:sz w:val="23"/>
          <w:szCs w:val="23"/>
        </w:rPr>
        <w:t xml:space="preserve">Module 4 opens Level 2 and shifts the program's focus for the first time — from performing the clinical workflow to administering the environment that workflow runs inside. It is built from eleven Help &amp; Documentation articles in the LabOS "Administration" category, covering staff and roles, branches and centres, tenant identity, and pricing.</w:t>
      </w:r>
    </w:p>
    <w:p>
      <w:pPr>
        <w:spacing w:after="160"/>
      </w:pPr>
      <w:r>
        <w:rPr>
          <w:rFonts w:ascii="Calibri" w:cs="Calibri" w:eastAsia="Calibri" w:hAnsi="Calibri"/>
          <w:color w:val="5C6678"/>
          <w:sz w:val="21"/>
          <w:szCs w:val="21"/>
        </w:rPr>
        <w:t xml:space="preserve">Everything in Level 1 assumed a working LabOS environment already existed — a tenant with staff, branches, and pricing already configured by someone. This module is about becoming that someone. Where Level 1 asked "how do I correctly perform this task," Level 2 asks a different question throughout: "how do I correctly set up and govern the environment so that everyone else can perform their tasks correctly, safely, and within the right limits."</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7020"/>
      </w:tblGrid>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MODULE POSITION</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Level 2 — LabOS Administrator, Module 1 of 3 in this level</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SOURCE MATERIAL</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11 Help &amp; Documentation articles (ad-1 through ad-5, ad-12, ad-13), used as factual source only</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LESSONS IN THIS MODULE</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3</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ESTIMATED TIME</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75–95 minutes self-paced, or a 2-hour facilitated session</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DELIVERY FORMATS</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Self-paced online · Instructor-led · Corporate cohort</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PREREQUISITE</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Module 3 — The Standard Test Request Workflow (completes Level 1)</w:t>
            </w:r>
          </w:p>
        </w:tc>
      </w:tr>
    </w:tbl>
    <w:p>
      <w:pPr>
        <w:spacing w:after="200"/>
      </w:pPr>
    </w:p>
    <w:p>
      <w:pPr>
        <w:pStyle w:val="Heading2"/>
      </w:pPr>
      <w:r>
        <w:rPr>
          <w:rFonts w:ascii="Calibri" w:cs="Calibri" w:eastAsia="Calibri" w:hAnsi="Calibri"/>
        </w:rPr>
        <w:t xml:space="preserve">Why This Module Exists</w:t>
      </w:r>
    </w:p>
    <w:p>
      <w:pPr>
        <w:spacing w:after="160"/>
      </w:pPr>
      <w:r>
        <w:rPr>
          <w:rFonts w:ascii="Calibri" w:cs="Calibri" w:eastAsia="Calibri" w:hAnsi="Calibri"/>
          <w:color w:val="5C6678"/>
          <w:sz w:val="21"/>
          <w:szCs w:val="21"/>
        </w:rPr>
        <w:t xml:space="preserve">A laboratory administrator who only learns the clinical workflow can operate a single, already-configured laboratory competently. A laboratory administrator who understands this module can build a laboratory's digital presence from nothing — invite the right staff into the right roles, structure branches correctly as the organisation grows, set pricing that reflects real costs, and establish the tenant's professional identity on every report it issues. This is the difference between operating LabOS and owning responsibility for it.</w:t>
      </w:r>
    </w:p>
    <w:p>
      <w:r>
        <w:br w:type="page"/>
      </w:r>
    </w:p>
    <w:p>
      <w:pPr>
        <w:spacing w:after="60"/>
      </w:pPr>
      <w:r>
        <w:rPr>
          <w:rFonts w:ascii="Calibri" w:cs="Calibri" w:eastAsia="Calibri" w:hAnsi="Calibri"/>
          <w:b/>
          <w:bCs/>
          <w:color w:val="A8552E"/>
          <w:spacing w:val="14"/>
          <w:sz w:val="17"/>
          <w:szCs w:val="17"/>
        </w:rPr>
        <w:t xml:space="preserve">MODULE 4</w:t>
      </w:r>
    </w:p>
    <w:p>
      <w:pPr>
        <w:pStyle w:val="Heading1"/>
      </w:pPr>
      <w:r>
        <w:rPr>
          <w:rFonts w:ascii="Calibri" w:cs="Calibri" w:eastAsia="Calibri" w:hAnsi="Calibri"/>
        </w:rPr>
        <w:t xml:space="preserve">Learning Objectives</w:t>
      </w:r>
    </w:p>
    <w:p>
      <w:pPr>
        <w:spacing w:after="200"/>
      </w:pPr>
      <w:r>
        <w:rPr>
          <w:rFonts w:ascii="Calibri" w:cs="Calibri" w:eastAsia="Calibri" w:hAnsi="Calibri"/>
          <w:color w:val="5C6678"/>
          <w:sz w:val="23"/>
          <w:szCs w:val="23"/>
        </w:rPr>
        <w:t xml:space="preserve">By the end of Module 4, a learner will be able to do all of the following.</w:t>
      </w:r>
    </w:p>
    <w:p>
      <w:pPr>
        <w:spacing w:after="80"/>
      </w:pPr>
    </w:p>
    <w:p>
      <w:pPr>
        <w:pStyle w:val="ListParagraph"/>
        <w:numPr>
          <w:ilvl w:val="0"/>
          <w:numId w:val="2"/>
        </w:numPr>
        <w:spacing w:after="90"/>
      </w:pPr>
      <w:r>
        <w:rPr>
          <w:rFonts w:ascii="Calibri" w:cs="Calibri" w:eastAsia="Calibri" w:hAnsi="Calibri"/>
          <w:color w:val="5C6678"/>
          <w:sz w:val="21"/>
          <w:szCs w:val="21"/>
        </w:rPr>
        <w:t xml:space="preserve">Invite a new staff member correctly and assign them to the most appropriate of LabOS's twelve defined roles.</w:t>
      </w:r>
    </w:p>
    <w:p>
      <w:pPr>
        <w:pStyle w:val="ListParagraph"/>
        <w:numPr>
          <w:ilvl w:val="0"/>
          <w:numId w:val="2"/>
        </w:numPr>
        <w:spacing w:after="90"/>
      </w:pPr>
      <w:r>
        <w:rPr>
          <w:rFonts w:ascii="Calibri" w:cs="Calibri" w:eastAsia="Calibri" w:hAnsi="Calibri"/>
          <w:color w:val="5C6678"/>
          <w:sz w:val="21"/>
          <w:szCs w:val="21"/>
        </w:rPr>
        <w:t xml:space="preserve">Explain what each of the twelve roles is responsible for, and identify when the underlying 13×12 permission matrix should be used instead of a role preset.</w:t>
      </w:r>
    </w:p>
    <w:p>
      <w:pPr>
        <w:pStyle w:val="ListParagraph"/>
        <w:numPr>
          <w:ilvl w:val="0"/>
          <w:numId w:val="2"/>
        </w:numPr>
        <w:spacing w:after="90"/>
      </w:pPr>
      <w:r>
        <w:rPr>
          <w:rFonts w:ascii="Calibri" w:cs="Calibri" w:eastAsia="Calibri" w:hAnsi="Calibri"/>
          <w:color w:val="5C6678"/>
          <w:sz w:val="21"/>
          <w:szCs w:val="21"/>
        </w:rPr>
        <w:t xml:space="preserve">Add and configure a new branch or centre, including centre-specific settings, and explain how plan tier limits the number of centres available.</w:t>
      </w:r>
    </w:p>
    <w:p>
      <w:pPr>
        <w:pStyle w:val="ListParagraph"/>
        <w:numPr>
          <w:ilvl w:val="0"/>
          <w:numId w:val="2"/>
        </w:numPr>
        <w:spacing w:after="90"/>
      </w:pPr>
      <w:r>
        <w:rPr>
          <w:rFonts w:ascii="Calibri" w:cs="Calibri" w:eastAsia="Calibri" w:hAnsi="Calibri"/>
          <w:color w:val="5C6678"/>
          <w:sz w:val="21"/>
          <w:szCs w:val="21"/>
        </w:rPr>
        <w:t xml:space="preserve">Distinguish between branch types (main lab, satellite lab, collection centre, draw point) and explain how cross-branch sample tracking and inventory work differently for each.</w:t>
      </w:r>
    </w:p>
    <w:p>
      <w:pPr>
        <w:pStyle w:val="ListParagraph"/>
        <w:numPr>
          <w:ilvl w:val="0"/>
          <w:numId w:val="2"/>
        </w:numPr>
        <w:spacing w:after="90"/>
      </w:pPr>
      <w:r>
        <w:rPr>
          <w:rFonts w:ascii="Calibri" w:cs="Calibri" w:eastAsia="Calibri" w:hAnsi="Calibri"/>
          <w:color w:val="5C6678"/>
          <w:sz w:val="21"/>
          <w:szCs w:val="21"/>
        </w:rPr>
        <w:t xml:space="preserve">Configure a tenant's professional identity — legal and trading details, accreditation, branding, and the report signature image — and explain the difference between tenant-level and platform-level configuration.</w:t>
      </w:r>
    </w:p>
    <w:p>
      <w:pPr>
        <w:pStyle w:val="ListParagraph"/>
        <w:numPr>
          <w:ilvl w:val="0"/>
          <w:numId w:val="2"/>
        </w:numPr>
        <w:spacing w:after="90"/>
      </w:pPr>
      <w:r>
        <w:rPr>
          <w:rFonts w:ascii="Calibri" w:cs="Calibri" w:eastAsia="Calibri" w:hAnsi="Calibri"/>
          <w:color w:val="5C6678"/>
          <w:sz w:val="21"/>
          <w:szCs w:val="21"/>
        </w:rPr>
        <w:t xml:space="preserve">Apply custom pricing correctly, using both bulk markup and per-test overrides, and explain how tenant pricing relates to the underlying global platform price list.</w:t>
      </w:r>
    </w:p>
    <w:p>
      <w:r>
        <w:br w:type="page"/>
      </w:r>
    </w:p>
    <w:p>
      <w:pPr>
        <w:spacing w:after="60"/>
      </w:pPr>
      <w:r>
        <w:rPr>
          <w:rFonts w:ascii="Calibri" w:cs="Calibri" w:eastAsia="Calibri" w:hAnsi="Calibri"/>
          <w:b/>
          <w:bCs/>
          <w:color w:val="A8552E"/>
          <w:spacing w:val="14"/>
          <w:sz w:val="17"/>
          <w:szCs w:val="17"/>
        </w:rPr>
        <w:t xml:space="preserve">MODULE 4</w:t>
      </w:r>
    </w:p>
    <w:p>
      <w:pPr>
        <w:pStyle w:val="Heading1"/>
      </w:pPr>
      <w:r>
        <w:rPr>
          <w:rFonts w:ascii="Calibri" w:cs="Calibri" w:eastAsia="Calibri" w:hAnsi="Calibri"/>
        </w:rPr>
        <w:t xml:space="preserve">Key Concepts</w:t>
      </w:r>
    </w:p>
    <w:p>
      <w:pPr>
        <w:spacing w:after="200"/>
      </w:pPr>
      <w:r>
        <w:rPr>
          <w:rFonts w:ascii="Calibri" w:cs="Calibri" w:eastAsia="Calibri" w:hAnsi="Calibri"/>
          <w:color w:val="5C6678"/>
          <w:sz w:val="23"/>
          <w:szCs w:val="23"/>
        </w:rPr>
        <w:t xml:space="preserve">These ideas recur across this module's three lessons, and several extend concepts first introduced in Level 1.</w:t>
      </w:r>
    </w:p>
    <w:p>
      <w:pPr>
        <w:spacing w:after="80"/>
      </w:pPr>
    </w:p>
    <w:p>
      <w:pPr>
        <w:spacing w:after="100" w:before="220"/>
      </w:pPr>
      <w:r>
        <w:rPr>
          <w:rFonts w:ascii="Calibri" w:cs="Calibri" w:eastAsia="Calibri" w:hAnsi="Calibri"/>
          <w:b/>
          <w:bCs/>
          <w:color w:val="0E1F33"/>
          <w:sz w:val="22"/>
          <w:szCs w:val="22"/>
        </w:rPr>
        <w:t xml:space="preserve">Concept: A role preset is a starting point, not a ceiling</w:t>
      </w:r>
    </w:p>
    <w:p>
      <w:pPr>
        <w:spacing w:after="160"/>
      </w:pPr>
      <w:r>
        <w:rPr>
          <w:rFonts w:ascii="Calibri" w:cs="Calibri" w:eastAsia="Calibri" w:hAnsi="Calibri"/>
          <w:color w:val="5C6678"/>
          <w:sz w:val="21"/>
          <w:szCs w:val="21"/>
        </w:rPr>
        <w:t xml:space="preserve">LabOS ships twelve named roles — TENANT_ADMIN, LAB_DIRECTOR, PATHOLOGIST, RENAL_SPECIALIST, MED_LAB_SCIENTIST, NURSE, PHLEBOTOMIST, FRONT_DESK, CASHIER, INVENTORY_OFFICER, ACCOUNTANT, DNA_OFFICER, and RADIOGRAPHER — each mapped to a real laboratory job function. But these presets sit on top of a genuinely granular 13-role × 12-permission matrix, meaning an administrator is never actually stuck with a preset that's almost-but-not-quite right. Understanding the presets as a sensible default rather than a hard boundary is what separates an administrator who fights the system from one who shapes it correctly around their laboratory's real structure.</w:t>
      </w:r>
    </w:p>
    <w:p>
      <w:pPr>
        <w:spacing w:after="100" w:before="220"/>
      </w:pPr>
      <w:r>
        <w:rPr>
          <w:rFonts w:ascii="Calibri" w:cs="Calibri" w:eastAsia="Calibri" w:hAnsi="Calibri"/>
          <w:b/>
          <w:bCs/>
          <w:color w:val="0E1F33"/>
          <w:sz w:val="22"/>
          <w:szCs w:val="22"/>
        </w:rPr>
        <w:t xml:space="preserve">Concept: Tenant-level and platform-level configuration are different layers, with different owners</w:t>
      </w:r>
    </w:p>
    <w:p>
      <w:pPr>
        <w:spacing w:after="160"/>
      </w:pPr>
      <w:r>
        <w:rPr>
          <w:rFonts w:ascii="Calibri" w:cs="Calibri" w:eastAsia="Calibri" w:hAnsi="Calibri"/>
          <w:color w:val="5C6678"/>
          <w:sz w:val="21"/>
          <w:szCs w:val="21"/>
        </w:rPr>
        <w:t xml:space="preserve">Tenant Profile — your lab's name, branding, accreditation, signature image — is something every tenant administrator manages directly. Platform-level configuration — which tenant exists at all, what subscription tier it's on, which feature flags are enabled — lives in a separate platform admin console used by AgoroX support, not by tenant administrators. Recognising this boundary matters operationally: a tenant administrator who hits a genuine platform-level limit (for example, needing a feature flag enabled) needs to know to contact AgoroX support rather than searching endlessly through Tenant Profile for a setting that was never going to be there.</w:t>
      </w:r>
    </w:p>
    <w:p>
      <w:pPr>
        <w:spacing w:after="100" w:before="220"/>
      </w:pPr>
      <w:r>
        <w:rPr>
          <w:rFonts w:ascii="Calibri" w:cs="Calibri" w:eastAsia="Calibri" w:hAnsi="Calibri"/>
          <w:b/>
          <w:bCs/>
          <w:color w:val="0E1F33"/>
          <w:sz w:val="22"/>
          <w:szCs w:val="22"/>
        </w:rPr>
        <w:t xml:space="preserve">Concept: Branch structure should reflect real physical and operational differences, not just be a convenient label</w:t>
      </w:r>
    </w:p>
    <w:p>
      <w:pPr>
        <w:spacing w:after="160"/>
      </w:pPr>
      <w:r>
        <w:rPr>
          <w:rFonts w:ascii="Calibri" w:cs="Calibri" w:eastAsia="Calibri" w:hAnsi="Calibri"/>
          <w:color w:val="5C6678"/>
          <w:sz w:val="21"/>
          <w:szCs w:val="21"/>
        </w:rPr>
        <w:t xml:space="preserve">LabOS distinguishes main lab, satellite lab, collection centre, and draw point specifically because these are operationally different things — a draw point that only collects samples has fundamentally different inventory needs (perhaps 20 EDTA tubes a week) than a main lab that processes them (perhaps 100). Modelling your laboratory's real branch structure accurately in LabOS, rather than treating every location as an identical "branch," is what makes per-branch inventory thresholds and cross-branch sample tracking actually useful rather than misleading.</w:t>
      </w:r>
    </w:p>
    <w:p>
      <w:r>
        <w:br w:type="page"/>
      </w:r>
    </w:p>
    <w:p>
      <w:pPr>
        <w:pBdr>
          <w:top w:val="single" w:color="0E1F33" w:sz="14" w:space="10"/>
        </w:pBdr>
        <w:spacing w:after="200" w:before="360"/>
      </w:pPr>
      <w:r>
        <w:rPr>
          <w:rFonts w:ascii="Calibri" w:cs="Calibri" w:eastAsia="Calibri" w:hAnsi="Calibri"/>
          <w:b/>
          <w:bCs/>
          <w:color w:val="0E1F33"/>
          <w:spacing w:val="10"/>
          <w:sz w:val="19"/>
          <w:szCs w:val="19"/>
        </w:rPr>
        <w:t xml:space="preserve">BEST PRACTICES — MODULE 4</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0E1F33" w:sz="18"/>
              <w:bottom w:val="single" w:color="D8DCE2" w:sz="4"/>
              <w:right w:val="single" w:color="D8DCE2" w:sz="4"/>
            </w:tcBorders>
            <w:shd w:fill="F7F5F0" w:val="clear"/>
            <w:tcMar>
              <w:top w:type="dxa" w:w="180"/>
              <w:left w:type="dxa" w:w="220"/>
              <w:bottom w:type="dxa" w:w="180"/>
              <w:right w:type="dxa" w:w="220"/>
            </w:tcMar>
          </w:tcPr>
          <w:p>
            <w:pPr>
              <w:spacing w:after="100"/>
            </w:pPr>
            <w:r>
              <w:rPr>
                <w:rFonts w:ascii="Calibri" w:cs="Calibri" w:eastAsia="Calibri" w:hAnsi="Calibri"/>
                <w:b/>
                <w:bCs/>
                <w:color w:val="0E1F33"/>
                <w:spacing w:val="8"/>
                <w:sz w:val="19"/>
                <w:szCs w:val="19"/>
              </w:rPr>
              <w:t xml:space="preserve">APPLY THESE FROM DAY ONE</w:t>
            </w:r>
          </w:p>
          <w:p>
            <w:pPr>
              <w:pStyle w:val="ListParagraph"/>
              <w:numPr>
                <w:ilvl w:val="0"/>
                <w:numId w:val="3"/>
              </w:numPr>
              <w:spacing w:after="70"/>
            </w:pPr>
            <w:r>
              <w:rPr>
                <w:rFonts w:ascii="Calibri" w:cs="Calibri" w:eastAsia="Calibri" w:hAnsi="Calibri"/>
                <w:color w:val="5C6678"/>
                <w:sz w:val="20"/>
                <w:szCs w:val="20"/>
              </w:rPr>
              <w:t xml:space="preserve">Map every real staff member to the closest-fitting role preset first, and only reach for the full permission matrix when a genuine, specific exception is needed — not as a default approach.</w:t>
            </w:r>
          </w:p>
          <w:p>
            <w:pPr>
              <w:pStyle w:val="ListParagraph"/>
              <w:numPr>
                <w:ilvl w:val="0"/>
                <w:numId w:val="3"/>
              </w:numPr>
              <w:spacing w:after="70"/>
            </w:pPr>
            <w:r>
              <w:rPr>
                <w:rFonts w:ascii="Calibri" w:cs="Calibri" w:eastAsia="Calibri" w:hAnsi="Calibri"/>
                <w:color w:val="5C6678"/>
                <w:sz w:val="20"/>
                <w:szCs w:val="20"/>
              </w:rPr>
              <w:t xml:space="preserve">Model your laboratory's branches by their real operational type (main lab, satellite, collection centre, draw point), not just by physical address, so inventory thresholds and reporting reflect reality.</w:t>
            </w:r>
          </w:p>
          <w:p>
            <w:pPr>
              <w:pStyle w:val="ListParagraph"/>
              <w:numPr>
                <w:ilvl w:val="0"/>
                <w:numId w:val="3"/>
              </w:numPr>
              <w:spacing w:after="70"/>
            </w:pPr>
            <w:r>
              <w:rPr>
                <w:rFonts w:ascii="Calibri" w:cs="Calibri" w:eastAsia="Calibri" w:hAnsi="Calibri"/>
                <w:color w:val="5C6678"/>
                <w:sz w:val="20"/>
                <w:szCs w:val="20"/>
              </w:rPr>
              <w:t xml:space="preserve">Complete your full Tenant Profile — including accreditation status and the signature image — before your laboratory issues its first live report, not retroactively.</w:t>
            </w:r>
          </w:p>
          <w:p>
            <w:pPr>
              <w:pStyle w:val="ListParagraph"/>
              <w:numPr>
                <w:ilvl w:val="0"/>
                <w:numId w:val="3"/>
              </w:numPr>
              <w:spacing w:after="70"/>
            </w:pPr>
            <w:r>
              <w:rPr>
                <w:rFonts w:ascii="Calibri" w:cs="Calibri" w:eastAsia="Calibri" w:hAnsi="Calibri"/>
                <w:color w:val="5C6678"/>
                <w:sz w:val="20"/>
                <w:szCs w:val="20"/>
              </w:rPr>
              <w:t xml:space="preserve">When setting custom pricing, use Bulk markup for category-wide adjustments and reserve per-test overrides for genuine exceptions, so your pricing structure stays maintainable as the catalogue grows.</w:t>
            </w:r>
          </w:p>
        </w:tc>
      </w:tr>
    </w:tbl>
    <w:p>
      <w:pPr>
        <w:spacing w:after="180"/>
      </w:pPr>
    </w:p>
    <w:p>
      <w:pPr>
        <w:pBdr>
          <w:top w:val="single" w:color="0E1F33" w:sz="14" w:space="10"/>
        </w:pBdr>
        <w:spacing w:after="200" w:before="360"/>
      </w:pPr>
      <w:r>
        <w:rPr>
          <w:rFonts w:ascii="Calibri" w:cs="Calibri" w:eastAsia="Calibri" w:hAnsi="Calibri"/>
          <w:b/>
          <w:bCs/>
          <w:color w:val="0E1F33"/>
          <w:spacing w:val="10"/>
          <w:sz w:val="19"/>
          <w:szCs w:val="19"/>
        </w:rPr>
        <w:t xml:space="preserve">COMMON MISTAKES — MODULE 4</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A8552E" w:sz="18"/>
              <w:bottom w:val="single" w:color="D8DCE2" w:sz="4"/>
              <w:right w:val="single" w:color="D8DCE2" w:sz="4"/>
            </w:tcBorders>
            <w:shd w:fill="F7F5F0" w:val="clear"/>
            <w:tcMar>
              <w:top w:type="dxa" w:w="180"/>
              <w:left w:type="dxa" w:w="220"/>
              <w:bottom w:type="dxa" w:w="180"/>
              <w:right w:type="dxa" w:w="220"/>
            </w:tcMar>
          </w:tcPr>
          <w:p>
            <w:pPr>
              <w:spacing w:after="100"/>
            </w:pPr>
            <w:r>
              <w:rPr>
                <w:rFonts w:ascii="Calibri" w:cs="Calibri" w:eastAsia="Calibri" w:hAnsi="Calibri"/>
                <w:b/>
                <w:bCs/>
                <w:color w:val="A8552E"/>
                <w:spacing w:val="8"/>
                <w:sz w:val="19"/>
                <w:szCs w:val="19"/>
              </w:rPr>
              <w:t xml:space="preserve">WATCH FOR THESE</w:t>
            </w:r>
          </w:p>
          <w:p>
            <w:pPr>
              <w:pStyle w:val="ListParagraph"/>
              <w:numPr>
                <w:ilvl w:val="0"/>
                <w:numId w:val="3"/>
              </w:numPr>
              <w:spacing w:after="70"/>
            </w:pPr>
            <w:r>
              <w:rPr>
                <w:rFonts w:ascii="Calibri" w:cs="Calibri" w:eastAsia="Calibri" w:hAnsi="Calibri"/>
                <w:color w:val="5C6678"/>
                <w:sz w:val="20"/>
                <w:szCs w:val="20"/>
              </w:rPr>
              <w:t xml:space="preserve">Assigning a staff member the closest-sounding role without checking whether the underlying permission matrix needs a small adjustment for their actual responsibilities.</w:t>
            </w:r>
          </w:p>
          <w:p>
            <w:pPr>
              <w:pStyle w:val="ListParagraph"/>
              <w:numPr>
                <w:ilvl w:val="0"/>
                <w:numId w:val="3"/>
              </w:numPr>
              <w:spacing w:after="70"/>
            </w:pPr>
            <w:r>
              <w:rPr>
                <w:rFonts w:ascii="Calibri" w:cs="Calibri" w:eastAsia="Calibri" w:hAnsi="Calibri"/>
                <w:color w:val="5C6678"/>
                <w:sz w:val="20"/>
                <w:szCs w:val="20"/>
              </w:rPr>
              <w:t xml:space="preserve">Treating every physical location as an identical "branch" regardless of whether it actually collects, processes, or both — leading to inventory thresholds that don't match real usage.</w:t>
            </w:r>
          </w:p>
          <w:p>
            <w:pPr>
              <w:pStyle w:val="ListParagraph"/>
              <w:numPr>
                <w:ilvl w:val="0"/>
                <w:numId w:val="3"/>
              </w:numPr>
              <w:spacing w:after="70"/>
            </w:pPr>
            <w:r>
              <w:rPr>
                <w:rFonts w:ascii="Calibri" w:cs="Calibri" w:eastAsia="Calibri" w:hAnsi="Calibri"/>
                <w:color w:val="5C6678"/>
                <w:sz w:val="20"/>
                <w:szCs w:val="20"/>
              </w:rPr>
              <w:t xml:space="preserve">Searching Tenant Profile for a setting that is actually platform-level (subscription tier changes, feature flags) instead of contacting AgoroX support.</w:t>
            </w:r>
          </w:p>
          <w:p>
            <w:pPr>
              <w:pStyle w:val="ListParagraph"/>
              <w:numPr>
                <w:ilvl w:val="0"/>
                <w:numId w:val="3"/>
              </w:numPr>
              <w:spacing w:after="70"/>
            </w:pPr>
            <w:r>
              <w:rPr>
                <w:rFonts w:ascii="Calibri" w:cs="Calibri" w:eastAsia="Calibri" w:hAnsi="Calibri"/>
                <w:color w:val="5C6678"/>
                <w:sz w:val="20"/>
                <w:szCs w:val="20"/>
              </w:rPr>
              <w:t xml:space="preserve">Setting per-test price overrides one at a time for a category-wide change that a single Bulk markup action would have handled correctly and consistently.</w:t>
            </w:r>
          </w:p>
        </w:tc>
      </w:tr>
    </w:tbl>
    <w:p>
      <w:r>
        <w:br w:type="page"/>
      </w:r>
    </w:p>
    <w:p>
      <w:pPr>
        <w:spacing w:after="60"/>
      </w:pPr>
      <w:r>
        <w:rPr>
          <w:rFonts w:ascii="Calibri" w:cs="Calibri" w:eastAsia="Calibri" w:hAnsi="Calibri"/>
          <w:b/>
          <w:bCs/>
          <w:color w:val="A8552E"/>
          <w:spacing w:val="14"/>
          <w:sz w:val="17"/>
          <w:szCs w:val="17"/>
        </w:rPr>
        <w:t xml:space="preserve">LESSON 4.1</w:t>
      </w:r>
    </w:p>
    <w:p>
      <w:pPr>
        <w:pStyle w:val="Heading1"/>
      </w:pPr>
      <w:r>
        <w:rPr>
          <w:rFonts w:ascii="Calibri" w:cs="Calibri" w:eastAsia="Calibri" w:hAnsi="Calibri"/>
        </w:rPr>
        <w:t xml:space="preserve">Staff and the Role Hierarchy</w:t>
      </w:r>
    </w:p>
    <w:p>
      <w:pPr>
        <w:spacing w:after="200"/>
      </w:pPr>
      <w:r>
        <w:rPr>
          <w:rFonts w:ascii="Calibri" w:cs="Calibri" w:eastAsia="Calibri" w:hAnsi="Calibri"/>
          <w:color w:val="5C6678"/>
          <w:sz w:val="23"/>
          <w:szCs w:val="23"/>
        </w:rPr>
        <w:t xml:space="preserve">This lesson covers the single most consequential administrative decision made for every new hire: which role they're assigned, and what that choice actually controls.</w:t>
      </w:r>
    </w:p>
    <w:p>
      <w:pPr>
        <w:pStyle w:val="Heading2"/>
      </w:pPr>
      <w:r>
        <w:rPr>
          <w:rFonts w:ascii="Calibri" w:cs="Calibri" w:eastAsia="Calibri" w:hAnsi="Calibri"/>
        </w:rPr>
        <w:t xml:space="preserve">Overview</w:t>
      </w:r>
    </w:p>
    <w:p>
      <w:pPr>
        <w:spacing w:after="160"/>
      </w:pPr>
      <w:r>
        <w:rPr>
          <w:rFonts w:ascii="Calibri" w:cs="Calibri" w:eastAsia="Calibri" w:hAnsi="Calibri"/>
          <w:color w:val="5C6678"/>
          <w:sz w:val="21"/>
          <w:szCs w:val="21"/>
        </w:rPr>
        <w:t xml:space="preserve">This lesson covers inviting new staff into LabOS and assigning them correctly across the twelve defined roles, plus understanding the underlying permission matrix that lets an administrator go beyond the presets when needed. By the end, a learner should be able to onboard a new staff member confidently and explain, role by role, what each one is actually trusted to do and why.</w:t>
      </w:r>
    </w:p>
    <w:p>
      <w:pPr>
        <w:pStyle w:val="Heading2"/>
      </w:pPr>
      <w:r>
        <w:rPr>
          <w:rFonts w:ascii="Calibri" w:cs="Calibri" w:eastAsia="Calibri" w:hAnsi="Calibri"/>
        </w:rPr>
        <w:t xml:space="preserve">Business Context</w:t>
      </w:r>
    </w:p>
    <w:p>
      <w:pPr>
        <w:spacing w:after="160"/>
      </w:pPr>
      <w:r>
        <w:rPr>
          <w:rFonts w:ascii="Calibri" w:cs="Calibri" w:eastAsia="Calibri" w:hAnsi="Calibri"/>
          <w:color w:val="5C6678"/>
          <w:sz w:val="21"/>
          <w:szCs w:val="21"/>
        </w:rPr>
        <w:t xml:space="preserve">Every permission boundary discussed across Level 1 — who can validate a result, who can merge a patient record, who can release a critical report — ultimately traces back to a role assignment made in this module. Getting a role assignment wrong doesn't just inconvenience the new staff member; depending on the direction of the error, it either blocks them from doing their actual job, or grants them access to something they were never meant to touch. Both failure modes are avoidable, and both start at the same single decision point: the moment an administrator selects a role on the invite screen.</w:t>
      </w:r>
    </w:p>
    <w:p>
      <w:pPr>
        <w:pStyle w:val="Heading2"/>
      </w:pPr>
      <w:r>
        <w:rPr>
          <w:rFonts w:ascii="Calibri" w:cs="Calibri" w:eastAsia="Calibri" w:hAnsi="Calibri"/>
        </w:rPr>
        <w:t xml:space="preserve">LabOS Functionality Covered</w:t>
      </w:r>
    </w:p>
    <w:p>
      <w:pPr>
        <w:pStyle w:val="ListParagraph"/>
        <w:numPr>
          <w:ilvl w:val="0"/>
          <w:numId w:val="3"/>
        </w:numPr>
        <w:spacing w:after="90"/>
      </w:pPr>
      <w:r>
        <w:rPr>
          <w:rFonts w:ascii="Calibri" w:cs="Calibri" w:eastAsia="Calibri" w:hAnsi="Calibri"/>
          <w:color w:val="5C6678"/>
          <w:sz w:val="21"/>
          <w:szCs w:val="21"/>
        </w:rPr>
        <w:t xml:space="preserve">Inviting staff: Staff &amp; Roles → + Invite staff, entering an email and selecting a role.</w:t>
      </w:r>
    </w:p>
    <w:p>
      <w:pPr>
        <w:pStyle w:val="ListParagraph"/>
        <w:numPr>
          <w:ilvl w:val="0"/>
          <w:numId w:val="3"/>
        </w:numPr>
        <w:spacing w:after="90"/>
      </w:pPr>
      <w:r>
        <w:rPr>
          <w:rFonts w:ascii="Calibri" w:cs="Calibri" w:eastAsia="Calibri" w:hAnsi="Calibri"/>
          <w:color w:val="5C6678"/>
          <w:sz w:val="21"/>
          <w:szCs w:val="21"/>
        </w:rPr>
        <w:t xml:space="preserve">The 7-day expiry on the setup link, and the guided password/2FA setup new staff complete on first login.</w:t>
      </w:r>
    </w:p>
    <w:p>
      <w:pPr>
        <w:pStyle w:val="ListParagraph"/>
        <w:numPr>
          <w:ilvl w:val="0"/>
          <w:numId w:val="3"/>
        </w:numPr>
        <w:spacing w:after="90"/>
      </w:pPr>
      <w:r>
        <w:rPr>
          <w:rFonts w:ascii="Calibri" w:cs="Calibri" w:eastAsia="Calibri" w:hAnsi="Calibri"/>
          <w:color w:val="5C6678"/>
          <w:sz w:val="21"/>
          <w:szCs w:val="21"/>
        </w:rPr>
        <w:t xml:space="preserve">The twelve role presets and what each is responsible for.</w:t>
      </w:r>
    </w:p>
    <w:p>
      <w:pPr>
        <w:pStyle w:val="ListParagraph"/>
        <w:numPr>
          <w:ilvl w:val="0"/>
          <w:numId w:val="3"/>
        </w:numPr>
        <w:spacing w:after="90"/>
      </w:pPr>
      <w:r>
        <w:rPr>
          <w:rFonts w:ascii="Calibri" w:cs="Calibri" w:eastAsia="Calibri" w:hAnsi="Calibri"/>
          <w:color w:val="5C6678"/>
          <w:sz w:val="21"/>
          <w:szCs w:val="21"/>
        </w:rPr>
        <w:t xml:space="preserve">The 13-role × 12-permission matrix for fine-tuning beyond the presets.</w:t>
      </w:r>
    </w:p>
    <w:p>
      <w:pPr>
        <w:pStyle w:val="Heading2"/>
      </w:pPr>
      <w:r>
        <w:rPr>
          <w:rFonts w:ascii="Calibri" w:cs="Calibri" w:eastAsia="Calibri" w:hAnsi="Calibri"/>
        </w:rPr>
        <w:t xml:space="preserve">Step-by-Step Explanation</w:t>
      </w:r>
    </w:p>
    <w:p>
      <w:pPr>
        <w:spacing w:after="100" w:before="220"/>
      </w:pPr>
      <w:r>
        <w:rPr>
          <w:rFonts w:ascii="Calibri" w:cs="Calibri" w:eastAsia="Calibri" w:hAnsi="Calibri"/>
          <w:b/>
          <w:bCs/>
          <w:color w:val="0E1F33"/>
          <w:sz w:val="20"/>
          <w:szCs w:val="20"/>
        </w:rPr>
        <w:t xml:space="preserve">Inviting a new staff member</w:t>
      </w:r>
    </w:p>
    <w:p>
      <w:pPr>
        <w:spacing w:after="160"/>
      </w:pPr>
      <w:r>
        <w:rPr>
          <w:rFonts w:ascii="Calibri" w:cs="Calibri" w:eastAsia="Calibri" w:hAnsi="Calibri"/>
          <w:color w:val="5C6678"/>
          <w:sz w:val="21"/>
          <w:szCs w:val="21"/>
        </w:rPr>
        <w:t xml:space="preserve">From Staff &amp; Roles, + Invite staff opens a simple form: enter the new staff member's email address and select their role. LabOS sends a setup-link email that expires after 7 days — a deliberately short window, consistent with the security posture established in Module 1, since a long-lived, unused invite link is itself a small security exposure. Once the new staff member clicks through, they are guided through password creation and two-factor authentication setup before they can do anything else — meaning Module 1's 2FA requirement isn't something an administrator has to remember to enforce separately; it's built into the onboarding path itself.</w:t>
      </w:r>
    </w:p>
    <w:p>
      <w:pPr>
        <w:spacing w:after="100" w:before="220"/>
      </w:pPr>
      <w:r>
        <w:rPr>
          <w:rFonts w:ascii="Calibri" w:cs="Calibri" w:eastAsia="Calibri" w:hAnsi="Calibri"/>
          <w:b/>
          <w:bCs/>
          <w:color w:val="0E1F33"/>
          <w:sz w:val="20"/>
          <w:szCs w:val="20"/>
        </w:rPr>
        <w:t xml:space="preserve">Understanding the twelve roles as real job functions</w:t>
      </w:r>
    </w:p>
    <w:p>
      <w:pPr>
        <w:spacing w:after="160"/>
      </w:pPr>
      <w:r>
        <w:rPr>
          <w:rFonts w:ascii="Calibri" w:cs="Calibri" w:eastAsia="Calibri" w:hAnsi="Calibri"/>
          <w:color w:val="5C6678"/>
          <w:sz w:val="21"/>
          <w:szCs w:val="21"/>
        </w:rPr>
        <w:t xml:space="preserve">Each of LabOS's twelve roles corresponds to an actual laboratory function, not an abstract permission tier. TENANT_ADMIN has full access, including billing and staff management — typically one or two people per laboratory. LAB_DIRECTOR has full clinical and operational access and can release any report. PATHOLOGIST handles clinical workflows and signs off histopathology and cytology specifically. RENAL_SPECIALIST has access scoped to the Renal &amp; Dialysis module. MED_LAB_SCIENTIST enters results and performs basic QC — this is the role that cannot self-validate, as covered in Module 3. NURSE and PHLEBOTOMIST handle sample collection, dialysis sessions, and vitals. FRONT_DESK handles patient registration and request creation — the role most relevant to Module 2's content. CASHIER manages invoicing and Paystack reconciliation. INVENTORY_OFFICER tracks reagents and consumables. ACCOUNTANT has read-only access to billing and analytics — deliberately read-only, since financial oversight doesn't require transactional access. DNA_OFFICER performs chain-of-custody DNA and toxicology collections — the designated-officer requirement from Module 3's legal-grade collection discussion refers directly to this role. RADIOGRAPHER handles imaging study acquisition.</w:t>
      </w:r>
    </w:p>
    <w:p>
      <w:pPr>
        <w:spacing w:after="100" w:before="220"/>
      </w:pPr>
      <w:r>
        <w:rPr>
          <w:rFonts w:ascii="Calibri" w:cs="Calibri" w:eastAsia="Calibri" w:hAnsi="Calibri"/>
          <w:b/>
          <w:bCs/>
          <w:color w:val="0E1F33"/>
          <w:sz w:val="20"/>
          <w:szCs w:val="20"/>
        </w:rPr>
        <w:t xml:space="preserve">Going beyond the presets when a role doesn't quite fit</w:t>
      </w:r>
    </w:p>
    <w:p>
      <w:pPr>
        <w:spacing w:after="160"/>
      </w:pPr>
      <w:r>
        <w:rPr>
          <w:rFonts w:ascii="Calibri" w:cs="Calibri" w:eastAsia="Calibri" w:hAnsi="Calibri"/>
          <w:color w:val="5C6678"/>
          <w:sz w:val="21"/>
          <w:szCs w:val="21"/>
        </w:rPr>
        <w:t xml:space="preserve">Real laboratories don't always map cleanly onto twelve fixed presets — a senior MED_LAB_SCIENTIST might reasonably need one specific additional permission without warranting a full LAB_DIRECTOR assignment, which would grant far more than intended. This is exactly what the 13 × 12 permission matrix inside Staff &amp; Roles is for: it lets an administrator fine-tune any role's exact actions beyond the preset, rather than forcing a choice between two imperfect options. The skill this lesson is really teaching is judgment — recognising the moment a preset isn't quite right, and reaching for the matrix deliberately rather than either over-granting access through a more senior role or under-granting it by leaving a genuine gap unaddressed.</w:t>
      </w:r>
    </w:p>
    <w:p>
      <w:pPr>
        <w:pStyle w:val="Heading2"/>
      </w:pPr>
      <w:r>
        <w:rPr>
          <w:rFonts w:ascii="Calibri" w:cs="Calibri" w:eastAsia="Calibri" w:hAnsi="Calibri"/>
        </w:rPr>
        <w:t xml:space="preserve">Best Practices</w:t>
      </w:r>
    </w:p>
    <w:p>
      <w:pPr>
        <w:pStyle w:val="ListParagraph"/>
        <w:numPr>
          <w:ilvl w:val="0"/>
          <w:numId w:val="3"/>
        </w:numPr>
        <w:spacing w:after="90"/>
      </w:pPr>
      <w:r>
        <w:rPr>
          <w:rFonts w:ascii="Calibri" w:cs="Calibri" w:eastAsia="Calibri" w:hAnsi="Calibri"/>
          <w:color w:val="5C6678"/>
          <w:sz w:val="21"/>
          <w:szCs w:val="21"/>
        </w:rPr>
        <w:t xml:space="preserve">Before sending an invite, identify the staff member's actual day-to-day responsibilities and match against the closest preset — don't default to a more senior role "just in case" they need more access later.</w:t>
      </w:r>
    </w:p>
    <w:p>
      <w:pPr>
        <w:pStyle w:val="ListParagraph"/>
        <w:numPr>
          <w:ilvl w:val="0"/>
          <w:numId w:val="3"/>
        </w:numPr>
        <w:spacing w:after="90"/>
      </w:pPr>
      <w:r>
        <w:rPr>
          <w:rFonts w:ascii="Calibri" w:cs="Calibri" w:eastAsia="Calibri" w:hAnsi="Calibri"/>
          <w:color w:val="5C6678"/>
          <w:sz w:val="21"/>
          <w:szCs w:val="21"/>
        </w:rPr>
        <w:t xml:space="preserve">Treat the 7-day setup-link expiry as a prompt to follow up promptly with new hires, not as an inconvenience to work around.</w:t>
      </w:r>
    </w:p>
    <w:p>
      <w:pPr>
        <w:pStyle w:val="ListParagraph"/>
        <w:numPr>
          <w:ilvl w:val="0"/>
          <w:numId w:val="3"/>
        </w:numPr>
        <w:spacing w:after="90"/>
      </w:pPr>
      <w:r>
        <w:rPr>
          <w:rFonts w:ascii="Calibri" w:cs="Calibri" w:eastAsia="Calibri" w:hAnsi="Calibri"/>
          <w:color w:val="5C6678"/>
          <w:sz w:val="21"/>
          <w:szCs w:val="21"/>
        </w:rPr>
        <w:t xml:space="preserve">When a preset is almost right but not quite, use the permission matrix to adjust the specific gap rather than assigning a broader role than intended.</w:t>
      </w:r>
    </w:p>
    <w:p>
      <w:pPr>
        <w:pStyle w:val="ListParagraph"/>
        <w:numPr>
          <w:ilvl w:val="0"/>
          <w:numId w:val="3"/>
        </w:numPr>
        <w:spacing w:after="90"/>
      </w:pPr>
      <w:r>
        <w:rPr>
          <w:rFonts w:ascii="Calibri" w:cs="Calibri" w:eastAsia="Calibri" w:hAnsi="Calibri"/>
          <w:color w:val="5C6678"/>
          <w:sz w:val="21"/>
          <w:szCs w:val="21"/>
        </w:rPr>
        <w:t xml:space="preserve">Periodically review your full staff list against actual current responsibilities — roles assigned at hiring don't always stay accurate as people's responsibilities evolve.</w:t>
      </w:r>
    </w:p>
    <w:p>
      <w:pPr>
        <w:pStyle w:val="Heading2"/>
      </w:pPr>
      <w:r>
        <w:rPr>
          <w:rFonts w:ascii="Calibri" w:cs="Calibri" w:eastAsia="Calibri" w:hAnsi="Calibri"/>
        </w:rPr>
        <w:t xml:space="preserve">Common Errors</w:t>
      </w:r>
    </w:p>
    <w:p>
      <w:pPr>
        <w:pStyle w:val="ListParagraph"/>
        <w:numPr>
          <w:ilvl w:val="0"/>
          <w:numId w:val="3"/>
        </w:numPr>
        <w:spacing w:after="90"/>
      </w:pPr>
      <w:r>
        <w:rPr>
          <w:rFonts w:ascii="Calibri" w:cs="Calibri" w:eastAsia="Calibri" w:hAnsi="Calibri"/>
          <w:color w:val="5C6678"/>
          <w:sz w:val="21"/>
          <w:szCs w:val="21"/>
        </w:rPr>
        <w:t xml:space="preserve">Assigning LAB_DIRECTOR or TENANT_ADMIN access to someone who only needs one specific elevated permission, when the matrix could have granted exactly that permission without the rest.</w:t>
      </w:r>
    </w:p>
    <w:p>
      <w:pPr>
        <w:pStyle w:val="ListParagraph"/>
        <w:numPr>
          <w:ilvl w:val="0"/>
          <w:numId w:val="3"/>
        </w:numPr>
        <w:spacing w:after="90"/>
      </w:pPr>
      <w:r>
        <w:rPr>
          <w:rFonts w:ascii="Calibri" w:cs="Calibri" w:eastAsia="Calibri" w:hAnsi="Calibri"/>
          <w:color w:val="5C6678"/>
          <w:sz w:val="21"/>
          <w:szCs w:val="21"/>
        </w:rPr>
        <w:t xml:space="preserve">Letting a setup-link invite expire unused and being confused why the new staff member "can't log in" — rather than simply re-sending the invite.</w:t>
      </w:r>
    </w:p>
    <w:p>
      <w:pPr>
        <w:pStyle w:val="ListParagraph"/>
        <w:numPr>
          <w:ilvl w:val="0"/>
          <w:numId w:val="3"/>
        </w:numPr>
        <w:spacing w:after="90"/>
      </w:pPr>
      <w:r>
        <w:rPr>
          <w:rFonts w:ascii="Calibri" w:cs="Calibri" w:eastAsia="Calibri" w:hAnsi="Calibri"/>
          <w:color w:val="5C6678"/>
          <w:sz w:val="21"/>
          <w:szCs w:val="21"/>
        </w:rPr>
        <w:t xml:space="preserve">Assuming ACCOUNTANT access includes the ability to actually process transactions, when it is deliberately read-only by design.</w:t>
      </w:r>
    </w:p>
    <w:p>
      <w:pPr>
        <w:pStyle w:val="ListParagraph"/>
        <w:numPr>
          <w:ilvl w:val="0"/>
          <w:numId w:val="3"/>
        </w:numPr>
        <w:spacing w:after="90"/>
      </w:pPr>
      <w:r>
        <w:rPr>
          <w:rFonts w:ascii="Calibri" w:cs="Calibri" w:eastAsia="Calibri" w:hAnsi="Calibri"/>
          <w:color w:val="5C6678"/>
          <w:sz w:val="21"/>
          <w:szCs w:val="21"/>
        </w:rPr>
        <w:t xml:space="preserve">Forgetting that DNA_OFFICER is a specific, named role requirement tied directly to Module 3's legal-grade chain-of-custody collection rules, not an optional label.</w:t>
      </w:r>
    </w:p>
    <w:p>
      <w:pPr>
        <w:pStyle w:val="Heading2"/>
      </w:pPr>
      <w:r>
        <w:rPr>
          <w:rFonts w:ascii="Calibri" w:cs="Calibri" w:eastAsia="Calibri" w:hAnsi="Calibri"/>
        </w:rPr>
        <w:t xml:space="preserve">Practical Exercise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C46A3E" w:sz="18"/>
              <w:bottom w:val="single" w:color="D8DCE2" w:sz="4"/>
              <w:right w:val="single" w:color="D8DCE2" w:sz="4"/>
            </w:tcBorders>
            <w:shd w:fill="E8F3FE" w:val="clear"/>
            <w:tcMar>
              <w:top w:type="dxa" w:w="180"/>
              <w:left w:type="dxa" w:w="220"/>
              <w:bottom w:type="dxa" w:w="180"/>
              <w:right w:type="dxa" w:w="220"/>
            </w:tcMar>
          </w:tcPr>
          <w:p>
            <w:pPr>
              <w:spacing w:after="90"/>
            </w:pPr>
            <w:r>
              <w:rPr>
                <w:rFonts w:ascii="Calibri" w:cs="Calibri" w:eastAsia="Calibri" w:hAnsi="Calibri"/>
                <w:b/>
                <w:bCs/>
                <w:color w:val="A8552E"/>
                <w:spacing w:val="8"/>
                <w:sz w:val="19"/>
                <w:szCs w:val="19"/>
              </w:rPr>
              <w:t xml:space="preserve">EXERCISE 4.1 — BUILD YOUR STAFF ROSTER</w:t>
            </w:r>
          </w:p>
          <w:p>
            <w:r>
              <w:rPr>
                <w:rFonts w:ascii="Calibri" w:cs="Calibri" w:eastAsia="Calibri" w:hAnsi="Calibri"/>
                <w:i/>
                <w:iCs/>
                <w:color w:val="0E1F33"/>
                <w:sz w:val="21"/>
                <w:szCs w:val="21"/>
              </w:rPr>
              <w:t xml:space="preserve">In a sandbox LabOS environment, invite at least five staff members covering five different roles, chosen to reflect a realistic small laboratory (for example: one TENANT_ADMIN, one LAB_DIRECTOR, one MED_LAB_SCIENTIST, one FRONT_DESK, one CASHIER). For one of these roles, identify a single, specific permission that role's preset does not include but which you believe a real staff member in that position might legitimately need — open the 13×12 permission matrix and locate exactly where that permission would be adjusted, without actually granting it unless your sandbox allows safe experimentation.</w:t>
            </w:r>
          </w:p>
        </w:tc>
      </w:tr>
    </w:tbl>
    <w:p>
      <w:pPr>
        <w:pStyle w:val="Heading2"/>
      </w:pPr>
      <w:r>
        <w:rPr>
          <w:rFonts w:ascii="Calibri" w:cs="Calibri" w:eastAsia="Calibri" w:hAnsi="Calibri"/>
        </w:rPr>
        <w:t xml:space="preserve">Knowledge Check</w:t>
      </w:r>
    </w:p>
    <w:p>
      <w:pPr>
        <w:spacing w:after="50" w:before="140"/>
      </w:pPr>
      <w:r>
        <w:rPr>
          <w:rFonts w:ascii="Calibri" w:cs="Calibri" w:eastAsia="Calibri" w:hAnsi="Calibri"/>
          <w:b/>
          <w:bCs/>
          <w:color w:val="0E1F33"/>
          <w:sz w:val="21"/>
          <w:szCs w:val="21"/>
        </w:rPr>
        <w:t xml:space="preserve">1. A new front-desk hire's setup-link invite has expired without being used. What should the administrator do?</w:t>
      </w:r>
    </w:p>
    <w:p>
      <w:pPr>
        <w:spacing w:after="60"/>
      </w:pPr>
      <w:r>
        <w:rPr>
          <w:rFonts w:ascii="Calibri" w:cs="Calibri" w:eastAsia="Calibri" w:hAnsi="Calibri"/>
          <w:color w:val="5C6678"/>
          <w:sz w:val="20"/>
          <w:szCs w:val="20"/>
        </w:rPr>
        <w:t xml:space="preserve">Re-send the invite from Staff &amp; Roles — the 7-day expiry is a deliberate security measure, not a one-time-only restriction, and a fresh invite can simply be issued.</w:t>
      </w:r>
    </w:p>
    <w:p>
      <w:pPr>
        <w:spacing w:after="50" w:before="140"/>
      </w:pPr>
      <w:r>
        <w:rPr>
          <w:rFonts w:ascii="Calibri" w:cs="Calibri" w:eastAsia="Calibri" w:hAnsi="Calibri"/>
          <w:b/>
          <w:bCs/>
          <w:color w:val="0E1F33"/>
          <w:sz w:val="21"/>
          <w:szCs w:val="21"/>
        </w:rPr>
        <w:t xml:space="preserve">2. Why is ACCOUNTANT access deliberately read-only, rather than granting full billing access like CASHIER or TENANT_ADMIN?</w:t>
      </w:r>
    </w:p>
    <w:p>
      <w:pPr>
        <w:spacing w:after="60"/>
      </w:pPr>
      <w:r>
        <w:rPr>
          <w:rFonts w:ascii="Calibri" w:cs="Calibri" w:eastAsia="Calibri" w:hAnsi="Calibri"/>
          <w:color w:val="5C6678"/>
          <w:sz w:val="20"/>
          <w:szCs w:val="20"/>
        </w:rPr>
        <w:t xml:space="preserve">Because the ACCOUNTANT role exists for financial oversight and analysis, not transaction processing — read-only access provides exactly the visibility needed for that function without granting the ability to create or modify financial records, which is a meaningfully different responsibility belonging to other roles.</w:t>
      </w:r>
    </w:p>
    <w:p>
      <w:pPr>
        <w:spacing w:after="50" w:before="140"/>
      </w:pPr>
      <w:r>
        <w:rPr>
          <w:rFonts w:ascii="Calibri" w:cs="Calibri" w:eastAsia="Calibri" w:hAnsi="Calibri"/>
          <w:b/>
          <w:bCs/>
          <w:color w:val="0E1F33"/>
          <w:sz w:val="21"/>
          <w:szCs w:val="21"/>
        </w:rPr>
        <w:t xml:space="preserve">3. A MED_LAB_SCIENTIST needs one additional specific permission that isn't part of their preset, but doesn't need the broader access of LAB_DIRECTOR. What's the correct approach?</w:t>
      </w:r>
    </w:p>
    <w:p>
      <w:pPr>
        <w:spacing w:after="60"/>
      </w:pPr>
      <w:r>
        <w:rPr>
          <w:rFonts w:ascii="Calibri" w:cs="Calibri" w:eastAsia="Calibri" w:hAnsi="Calibri"/>
          <w:color w:val="5C6678"/>
          <w:sz w:val="20"/>
          <w:szCs w:val="20"/>
        </w:rPr>
        <w:t xml:space="preserve">Use the 13×12 permission matrix to grant that one specific permission directly to their existing MED_LAB_SCIENTIST role, rather than reassigning them to LAB_DIRECTOR, which would grant significantly more access than the situation actually requires.</w:t>
      </w:r>
    </w:p>
    <w:p>
      <w:pPr>
        <w:pBdr>
          <w:top w:val="single" w:color="0E1F33" w:sz="14" w:space="10"/>
        </w:pBdr>
        <w:spacing w:after="200" w:before="360"/>
      </w:pPr>
      <w:r>
        <w:rPr>
          <w:rFonts w:ascii="Calibri" w:cs="Calibri" w:eastAsia="Calibri" w:hAnsi="Calibri"/>
          <w:b/>
          <w:bCs/>
          <w:color w:val="0E1F33"/>
          <w:spacing w:val="10"/>
          <w:sz w:val="19"/>
          <w:szCs w:val="19"/>
        </w:rPr>
        <w:t xml:space="preserve">VIDEO SCRIPT — LESSON 4.1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TITLE</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"Staff and the Role Hierarchy" — CLA Module 4, Lesson 1</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OBJECTIVE</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Learner can invite a new staff member, correctly assign one of the twelve roles, and know when to use the permission matrix instead.</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RECOMMENDED DURATION</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8–10 minutes</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FORMAT</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Screen recording with presenter voiceover; on-screen role reference card built incrementally</w:t>
            </w:r>
          </w:p>
        </w:tc>
      </w:tr>
    </w:tbl>
    <w:p>
      <w:pPr>
        <w:spacing w:after="180"/>
      </w:pPr>
    </w:p>
    <w:p>
      <w:pPr>
        <w:spacing w:after="100" w:before="220"/>
      </w:pPr>
      <w:r>
        <w:rPr>
          <w:rFonts w:ascii="Calibri" w:cs="Calibri" w:eastAsia="Calibri" w:hAnsi="Calibri"/>
          <w:b/>
          <w:bCs/>
          <w:color w:val="0E1F33"/>
          <w:sz w:val="22"/>
          <w:szCs w:val="22"/>
        </w:rPr>
        <w:t xml:space="preserve">Detailed Video Outline</w:t>
      </w:r>
    </w:p>
    <w:p>
      <w:pPr>
        <w:pStyle w:val="ListParagraph"/>
        <w:numPr>
          <w:ilvl w:val="0"/>
          <w:numId w:val="4"/>
        </w:numPr>
        <w:spacing w:after="90"/>
      </w:pPr>
      <w:r>
        <w:rPr>
          <w:rFonts w:ascii="Calibri" w:cs="Calibri" w:eastAsia="Calibri" w:hAnsi="Calibri"/>
          <w:color w:val="5C6678"/>
          <w:sz w:val="21"/>
          <w:szCs w:val="21"/>
        </w:rPr>
        <w:t xml:space="preserve">Cold open (0:00–0:35) — "Every permission boundary you've learned so far in this program traces back to one decision — this one."</w:t>
      </w:r>
    </w:p>
    <w:p>
      <w:pPr>
        <w:pStyle w:val="ListParagraph"/>
        <w:numPr>
          <w:ilvl w:val="0"/>
          <w:numId w:val="4"/>
        </w:numPr>
        <w:spacing w:after="90"/>
      </w:pPr>
      <w:r>
        <w:rPr>
          <w:rFonts w:ascii="Calibri" w:cs="Calibri" w:eastAsia="Calibri" w:hAnsi="Calibri"/>
          <w:color w:val="5C6678"/>
          <w:sz w:val="21"/>
          <w:szCs w:val="21"/>
        </w:rPr>
        <w:t xml:space="preserve">Live invite demo: Staff &amp; Roles → + Invite staff, narrating the 7-day expiry and guided onboarding (0:35–2:30).</w:t>
      </w:r>
    </w:p>
    <w:p>
      <w:pPr>
        <w:pStyle w:val="ListParagraph"/>
        <w:numPr>
          <w:ilvl w:val="0"/>
          <w:numId w:val="4"/>
        </w:numPr>
        <w:spacing w:after="90"/>
      </w:pPr>
      <w:r>
        <w:rPr>
          <w:rFonts w:ascii="Calibri" w:cs="Calibri" w:eastAsia="Calibri" w:hAnsi="Calibri"/>
          <w:color w:val="5C6678"/>
          <w:sz w:val="21"/>
          <w:szCs w:val="21"/>
        </w:rPr>
        <w:t xml:space="preserve">Walking all twelve roles against an on-screen reference card, grouped by function (clinical / operational / financial) (2:30–6:00).</w:t>
      </w:r>
    </w:p>
    <w:p>
      <w:pPr>
        <w:pStyle w:val="ListParagraph"/>
        <w:numPr>
          <w:ilvl w:val="0"/>
          <w:numId w:val="4"/>
        </w:numPr>
        <w:spacing w:after="90"/>
      </w:pPr>
      <w:r>
        <w:rPr>
          <w:rFonts w:ascii="Calibri" w:cs="Calibri" w:eastAsia="Calibri" w:hAnsi="Calibri"/>
          <w:color w:val="5C6678"/>
          <w:sz w:val="21"/>
          <w:szCs w:val="21"/>
        </w:rPr>
        <w:t xml:space="preserve">The permission matrix: when and why to go beyond a preset, brief live demo (6:00–8:00).</w:t>
      </w:r>
    </w:p>
    <w:p>
      <w:pPr>
        <w:pStyle w:val="ListParagraph"/>
        <w:numPr>
          <w:ilvl w:val="0"/>
          <w:numId w:val="4"/>
        </w:numPr>
        <w:spacing w:after="90"/>
      </w:pPr>
      <w:r>
        <w:rPr>
          <w:rFonts w:ascii="Calibri" w:cs="Calibri" w:eastAsia="Calibri" w:hAnsi="Calibri"/>
          <w:color w:val="5C6678"/>
          <w:sz w:val="21"/>
          <w:szCs w:val="21"/>
        </w:rPr>
        <w:t xml:space="preserve">Close + transition to Lesson 4.2 (8:00–end).</w:t>
      </w:r>
    </w:p>
    <w:p>
      <w:pPr>
        <w:spacing w:after="100" w:before="220"/>
      </w:pPr>
      <w:r>
        <w:rPr>
          <w:rFonts w:ascii="Calibri" w:cs="Calibri" w:eastAsia="Calibri" w:hAnsi="Calibri"/>
          <w:b/>
          <w:bCs/>
          <w:color w:val="0E1F33"/>
          <w:sz w:val="22"/>
          <w:szCs w:val="22"/>
        </w:rPr>
        <w:t xml:space="preserve">Presenter Talking Points</w:t>
      </w:r>
    </w:p>
    <w:p>
      <w:pPr>
        <w:pStyle w:val="ListParagraph"/>
        <w:numPr>
          <w:ilvl w:val="0"/>
          <w:numId w:val="3"/>
        </w:numPr>
        <w:spacing w:after="90"/>
      </w:pPr>
      <w:r>
        <w:rPr>
          <w:rFonts w:ascii="Calibri" w:cs="Calibri" w:eastAsia="Calibri" w:hAnsi="Calibri"/>
          <w:color w:val="5C6678"/>
          <w:sz w:val="21"/>
          <w:szCs w:val="21"/>
        </w:rPr>
        <w:t xml:space="preserve">When demonstrating the invite, narrate the security reasoning explicitly: "Seven days, on purpose — a stale, unused invite link is itself a tiny security gap we don't want sitting open."</w:t>
      </w:r>
    </w:p>
    <w:p>
      <w:pPr>
        <w:pStyle w:val="ListParagraph"/>
        <w:numPr>
          <w:ilvl w:val="0"/>
          <w:numId w:val="3"/>
        </w:numPr>
        <w:spacing w:after="90"/>
      </w:pPr>
      <w:r>
        <w:rPr>
          <w:rFonts w:ascii="Calibri" w:cs="Calibri" w:eastAsia="Calibri" w:hAnsi="Calibri"/>
          <w:color w:val="5C6678"/>
          <w:sz w:val="21"/>
          <w:szCs w:val="21"/>
        </w:rPr>
        <w:t xml:space="preserve">Group the twelve roles verbally as you go — "these next three are clinical roles... these two are financial..." — to help the structure stick rather than presenting an undifferentiated list of twelve names.</w:t>
      </w:r>
    </w:p>
    <w:p>
      <w:pPr>
        <w:pStyle w:val="ListParagraph"/>
        <w:numPr>
          <w:ilvl w:val="0"/>
          <w:numId w:val="3"/>
        </w:numPr>
        <w:spacing w:after="90"/>
      </w:pPr>
      <w:r>
        <w:rPr>
          <w:rFonts w:ascii="Calibri" w:cs="Calibri" w:eastAsia="Calibri" w:hAnsi="Calibri"/>
          <w:color w:val="5C6678"/>
          <w:sz w:val="21"/>
          <w:szCs w:val="21"/>
        </w:rPr>
        <w:t xml:space="preserve">At DNA_OFFICER, explicitly connect back: "Remember the legal-grade collection rules from Module 3? This is the role that requirement points to."</w:t>
      </w:r>
    </w:p>
    <w:p>
      <w:pPr>
        <w:pStyle w:val="ListParagraph"/>
        <w:numPr>
          <w:ilvl w:val="0"/>
          <w:numId w:val="3"/>
        </w:numPr>
        <w:spacing w:after="90"/>
      </w:pPr>
      <w:r>
        <w:rPr>
          <w:rFonts w:ascii="Calibri" w:cs="Calibri" w:eastAsia="Calibri" w:hAnsi="Calibri"/>
          <w:color w:val="5C6678"/>
          <w:sz w:val="21"/>
          <w:szCs w:val="21"/>
        </w:rPr>
        <w:t xml:space="preserve">At the permission matrix, frame the judgment call directly: "The question isn't 'which preset is closest' — it's 'is closest actually close enough,' and if not, this is where you fix the gap."</w:t>
      </w:r>
    </w:p>
    <w:p>
      <w:pPr>
        <w:spacing w:after="100" w:before="220"/>
      </w:pPr>
      <w:r>
        <w:rPr>
          <w:rFonts w:ascii="Calibri" w:cs="Calibri" w:eastAsia="Calibri" w:hAnsi="Calibri"/>
          <w:b/>
          <w:bCs/>
          <w:color w:val="0E1F33"/>
          <w:sz w:val="22"/>
          <w:szCs w:val="22"/>
        </w:rPr>
        <w:t xml:space="preserve">Demonstration Steps (Screen Recording)</w:t>
      </w:r>
    </w:p>
    <w:p>
      <w:pPr>
        <w:pStyle w:val="ListParagraph"/>
        <w:numPr>
          <w:ilvl w:val="0"/>
          <w:numId w:val="5"/>
        </w:numPr>
        <w:spacing w:after="90"/>
      </w:pPr>
      <w:r>
        <w:rPr>
          <w:rFonts w:ascii="Calibri" w:cs="Calibri" w:eastAsia="Calibri" w:hAnsi="Calibri"/>
          <w:color w:val="5C6678"/>
          <w:sz w:val="21"/>
          <w:szCs w:val="21"/>
        </w:rPr>
        <w:t xml:space="preserve">Open Staff &amp; Roles, click + Invite staff, enter a sandbox email, show the role dropdown with all twelve options visible.</w:t>
      </w:r>
    </w:p>
    <w:p>
      <w:pPr>
        <w:pStyle w:val="ListParagraph"/>
        <w:numPr>
          <w:ilvl w:val="0"/>
          <w:numId w:val="5"/>
        </w:numPr>
        <w:spacing w:after="90"/>
      </w:pPr>
      <w:r>
        <w:rPr>
          <w:rFonts w:ascii="Calibri" w:cs="Calibri" w:eastAsia="Calibri" w:hAnsi="Calibri"/>
          <w:color w:val="5C6678"/>
          <w:sz w:val="21"/>
          <w:szCs w:val="21"/>
        </w:rPr>
        <w:t xml:space="preserve">Select a role, send the invite, briefly show the resulting pending-invite state and its expiry countdown.</w:t>
      </w:r>
    </w:p>
    <w:p>
      <w:pPr>
        <w:pStyle w:val="ListParagraph"/>
        <w:numPr>
          <w:ilvl w:val="0"/>
          <w:numId w:val="5"/>
        </w:numPr>
        <w:spacing w:after="90"/>
      </w:pPr>
      <w:r>
        <w:rPr>
          <w:rFonts w:ascii="Calibri" w:cs="Calibri" w:eastAsia="Calibri" w:hAnsi="Calibri"/>
          <w:color w:val="5C6678"/>
          <w:sz w:val="21"/>
          <w:szCs w:val="21"/>
        </w:rPr>
        <w:t xml:space="preserve">Cut to an on-screen twelve-role reference card, building it up role by role as each is discussed.</w:t>
      </w:r>
    </w:p>
    <w:p>
      <w:pPr>
        <w:pStyle w:val="ListParagraph"/>
        <w:numPr>
          <w:ilvl w:val="0"/>
          <w:numId w:val="5"/>
        </w:numPr>
        <w:spacing w:after="90"/>
      </w:pPr>
      <w:r>
        <w:rPr>
          <w:rFonts w:ascii="Calibri" w:cs="Calibri" w:eastAsia="Calibri" w:hAnsi="Calibri"/>
          <w:color w:val="5C6678"/>
          <w:sz w:val="21"/>
          <w:szCs w:val="21"/>
        </w:rPr>
        <w:t xml:space="preserve">Open the 13×12 permission matrix, locate one role, point to one specific permission cell, show how it could be toggled independently of the role preset.</w:t>
      </w:r>
    </w:p>
    <w:p>
      <w:pPr>
        <w:spacing w:after="100" w:before="220"/>
      </w:pPr>
      <w:r>
        <w:rPr>
          <w:rFonts w:ascii="Calibri" w:cs="Calibri" w:eastAsia="Calibri" w:hAnsi="Calibri"/>
          <w:b/>
          <w:bCs/>
          <w:color w:val="0E1F33"/>
          <w:sz w:val="22"/>
          <w:szCs w:val="22"/>
        </w:rPr>
        <w:t xml:space="preserve">Key Takeaways (on-screen end card)</w:t>
      </w:r>
    </w:p>
    <w:p>
      <w:pPr>
        <w:pStyle w:val="ListParagraph"/>
        <w:numPr>
          <w:ilvl w:val="0"/>
          <w:numId w:val="3"/>
        </w:numPr>
        <w:spacing w:after="90"/>
      </w:pPr>
      <w:r>
        <w:rPr>
          <w:rFonts w:ascii="Calibri" w:cs="Calibri" w:eastAsia="Calibri" w:hAnsi="Calibri"/>
          <w:color w:val="5C6678"/>
          <w:sz w:val="21"/>
          <w:szCs w:val="21"/>
        </w:rPr>
        <w:t xml:space="preserve">Twelve roles, each mapped to a real laboratory job function — not abstract tiers.</w:t>
      </w:r>
    </w:p>
    <w:p>
      <w:pPr>
        <w:pStyle w:val="ListParagraph"/>
        <w:numPr>
          <w:ilvl w:val="0"/>
          <w:numId w:val="3"/>
        </w:numPr>
        <w:spacing w:after="90"/>
      </w:pPr>
      <w:r>
        <w:rPr>
          <w:rFonts w:ascii="Calibri" w:cs="Calibri" w:eastAsia="Calibri" w:hAnsi="Calibri"/>
          <w:color w:val="5C6678"/>
          <w:sz w:val="21"/>
          <w:szCs w:val="21"/>
        </w:rPr>
        <w:t xml:space="preserve">Setup-link invites expire after 7 days — re-send if needed, don't troubleshoot a "broken" login.</w:t>
      </w:r>
    </w:p>
    <w:p>
      <w:pPr>
        <w:pStyle w:val="ListParagraph"/>
        <w:numPr>
          <w:ilvl w:val="0"/>
          <w:numId w:val="3"/>
        </w:numPr>
        <w:spacing w:after="90"/>
      </w:pPr>
      <w:r>
        <w:rPr>
          <w:rFonts w:ascii="Calibri" w:cs="Calibri" w:eastAsia="Calibri" w:hAnsi="Calibri"/>
          <w:color w:val="5C6678"/>
          <w:sz w:val="21"/>
          <w:szCs w:val="21"/>
        </w:rPr>
        <w:t xml:space="preserve">ACCOUNTANT is deliberately read-only; DNA_OFFICER is tied directly to legal-grade collection rules.</w:t>
      </w:r>
    </w:p>
    <w:p>
      <w:pPr>
        <w:pStyle w:val="ListParagraph"/>
        <w:numPr>
          <w:ilvl w:val="0"/>
          <w:numId w:val="3"/>
        </w:numPr>
        <w:spacing w:after="90"/>
      </w:pPr>
      <w:r>
        <w:rPr>
          <w:rFonts w:ascii="Calibri" w:cs="Calibri" w:eastAsia="Calibri" w:hAnsi="Calibri"/>
          <w:color w:val="5C6678"/>
          <w:sz w:val="21"/>
          <w:szCs w:val="21"/>
        </w:rPr>
        <w:t xml:space="preserve">When a preset is almost right, use the permission matrix — don't over-grant a broader role instead.</w:t>
      </w:r>
    </w:p>
    <w:p>
      <w:pPr>
        <w:spacing w:after="100" w:before="220"/>
      </w:pPr>
      <w:r>
        <w:rPr>
          <w:rFonts w:ascii="Calibri" w:cs="Calibri" w:eastAsia="Calibri" w:hAnsi="Calibri"/>
          <w:b/>
          <w:bCs/>
          <w:color w:val="0E1F33"/>
          <w:sz w:val="22"/>
          <w:szCs w:val="22"/>
        </w:rPr>
        <w:t xml:space="preserve">Recommended Visuals</w:t>
      </w:r>
    </w:p>
    <w:p>
      <w:pPr>
        <w:pStyle w:val="ListParagraph"/>
        <w:numPr>
          <w:ilvl w:val="0"/>
          <w:numId w:val="3"/>
        </w:numPr>
        <w:spacing w:after="90"/>
      </w:pPr>
      <w:r>
        <w:rPr>
          <w:rFonts w:ascii="Calibri" w:cs="Calibri" w:eastAsia="Calibri" w:hAnsi="Calibri"/>
          <w:color w:val="5C6678"/>
          <w:sz w:val="21"/>
          <w:szCs w:val="21"/>
        </w:rPr>
        <w:t xml:space="preserve">Twelve-role reference card grouped into three visual clusters: Clinical, Operational, Financial — reusable in later modules.</w:t>
      </w:r>
    </w:p>
    <w:p>
      <w:pPr>
        <w:pStyle w:val="ListParagraph"/>
        <w:numPr>
          <w:ilvl w:val="0"/>
          <w:numId w:val="3"/>
        </w:numPr>
        <w:spacing w:after="90"/>
      </w:pPr>
      <w:r>
        <w:rPr>
          <w:rFonts w:ascii="Calibri" w:cs="Calibri" w:eastAsia="Calibri" w:hAnsi="Calibri"/>
          <w:color w:val="5C6678"/>
          <w:sz w:val="21"/>
          <w:szCs w:val="21"/>
        </w:rPr>
        <w:t xml:space="preserve">Simple countdown-style graphic illustrating the 7-day invite expiry window.</w:t>
      </w:r>
    </w:p>
    <w:p>
      <w:pPr>
        <w:pStyle w:val="ListParagraph"/>
        <w:numPr>
          <w:ilvl w:val="0"/>
          <w:numId w:val="3"/>
        </w:numPr>
        <w:spacing w:after="90"/>
      </w:pPr>
      <w:r>
        <w:rPr>
          <w:rFonts w:ascii="Calibri" w:cs="Calibri" w:eastAsia="Calibri" w:hAnsi="Calibri"/>
          <w:color w:val="5C6678"/>
          <w:sz w:val="21"/>
          <w:szCs w:val="21"/>
        </w:rPr>
        <w:t xml:space="preserve">Permission matrix close-up with one cell highlighted to show granular adjustment in action.</w:t>
      </w:r>
    </w:p>
    <w:p>
      <w:r>
        <w:br w:type="page"/>
      </w:r>
    </w:p>
    <w:p>
      <w:pPr>
        <w:spacing w:after="60"/>
      </w:pPr>
      <w:r>
        <w:rPr>
          <w:rFonts w:ascii="Calibri" w:cs="Calibri" w:eastAsia="Calibri" w:hAnsi="Calibri"/>
          <w:b/>
          <w:bCs/>
          <w:color w:val="A8552E"/>
          <w:spacing w:val="14"/>
          <w:sz w:val="17"/>
          <w:szCs w:val="17"/>
        </w:rPr>
        <w:t xml:space="preserve">LESSON 4.2</w:t>
      </w:r>
    </w:p>
    <w:p>
      <w:pPr>
        <w:pStyle w:val="Heading1"/>
      </w:pPr>
      <w:r>
        <w:rPr>
          <w:rFonts w:ascii="Calibri" w:cs="Calibri" w:eastAsia="Calibri" w:hAnsi="Calibri"/>
        </w:rPr>
        <w:t xml:space="preserve">Branches, Tenant Identity, and Pricing</w:t>
      </w:r>
    </w:p>
    <w:p>
      <w:pPr>
        <w:spacing w:after="200"/>
      </w:pPr>
      <w:r>
        <w:rPr>
          <w:rFonts w:ascii="Calibri" w:cs="Calibri" w:eastAsia="Calibri" w:hAnsi="Calibri"/>
          <w:color w:val="5C6678"/>
          <w:sz w:val="23"/>
          <w:szCs w:val="23"/>
        </w:rPr>
        <w:t xml:space="preserve">This lesson covers how a laboratory's physical structure, professional identity, and pricing are all represented inside LabOS — three different concerns that share one thing in common: every patient-facing report and every invoice depends on getting them right.</w:t>
      </w:r>
    </w:p>
    <w:p>
      <w:pPr>
        <w:pStyle w:val="Heading2"/>
      </w:pPr>
      <w:r>
        <w:rPr>
          <w:rFonts w:ascii="Calibri" w:cs="Calibri" w:eastAsia="Calibri" w:hAnsi="Calibri"/>
        </w:rPr>
        <w:t xml:space="preserve">Overview</w:t>
      </w:r>
    </w:p>
    <w:p>
      <w:pPr>
        <w:spacing w:after="160"/>
      </w:pPr>
      <w:r>
        <w:rPr>
          <w:rFonts w:ascii="Calibri" w:cs="Calibri" w:eastAsia="Calibri" w:hAnsi="Calibri"/>
          <w:color w:val="5C6678"/>
          <w:sz w:val="21"/>
          <w:szCs w:val="21"/>
        </w:rPr>
        <w:t xml:space="preserve">This lesson covers adding and structuring branches and centres, configuring tenant profile and branding, and applying custom test pricing. By the end, a learner should be able to model a multi-location laboratory's real structure accurately in LabOS, complete a professional tenant profile suitable for live patient-facing reports, and apply pricing changes correctly at both the category and individual-test level.</w:t>
      </w:r>
    </w:p>
    <w:p>
      <w:pPr>
        <w:pStyle w:val="Heading2"/>
      </w:pPr>
      <w:r>
        <w:rPr>
          <w:rFonts w:ascii="Calibri" w:cs="Calibri" w:eastAsia="Calibri" w:hAnsi="Calibri"/>
        </w:rPr>
        <w:t xml:space="preserve">Business Context</w:t>
      </w:r>
    </w:p>
    <w:p>
      <w:pPr>
        <w:spacing w:after="160"/>
      </w:pPr>
      <w:r>
        <w:rPr>
          <w:rFonts w:ascii="Calibri" w:cs="Calibri" w:eastAsia="Calibri" w:hAnsi="Calibri"/>
          <w:color w:val="5C6678"/>
          <w:sz w:val="21"/>
          <w:szCs w:val="21"/>
        </w:rPr>
        <w:t xml:space="preserve">A patient's report carries your laboratory's name, logo, and the lab director's signature — it is, in a real sense, your laboratory's professional reputation made visible every single time it's issued. Getting tenant identity wrong isn't a cosmetic problem; an unaccredited-looking report, a missing signature image, or a generic LabOS-default appearance where your own branding should be, all quietly undermine the trust a referring clinician or patient places in the result itself. Branch structure and pricing carry equally real consequences: a draw point misconfigured as a full branch will be expected to hold inventory levels it was never designed to need, and pricing applied inconsistently — some tests manually overridden, others left at stale platform defaults — creates exactly the kind of billing confusion Module 5 will show you is expensive to untangle after the fact.</w:t>
      </w:r>
    </w:p>
    <w:p>
      <w:pPr>
        <w:pStyle w:val="Heading2"/>
      </w:pPr>
      <w:r>
        <w:rPr>
          <w:rFonts w:ascii="Calibri" w:cs="Calibri" w:eastAsia="Calibri" w:hAnsi="Calibri"/>
        </w:rPr>
        <w:t xml:space="preserve">LabOS Functionality Covered</w:t>
      </w:r>
    </w:p>
    <w:p>
      <w:pPr>
        <w:pStyle w:val="ListParagraph"/>
        <w:numPr>
          <w:ilvl w:val="0"/>
          <w:numId w:val="3"/>
        </w:numPr>
        <w:spacing w:after="90"/>
      </w:pPr>
      <w:r>
        <w:rPr>
          <w:rFonts w:ascii="Calibri" w:cs="Calibri" w:eastAsia="Calibri" w:hAnsi="Calibri"/>
          <w:color w:val="5C6678"/>
          <w:sz w:val="21"/>
          <w:szCs w:val="21"/>
        </w:rPr>
        <w:t xml:space="preserve">Adding a centre: Tenant profile → Centres → + Add centre, capturing name, address, GPS coordinates, phone, head of branch, and operating hours.</w:t>
      </w:r>
    </w:p>
    <w:p>
      <w:pPr>
        <w:pStyle w:val="ListParagraph"/>
        <w:numPr>
          <w:ilvl w:val="0"/>
          <w:numId w:val="3"/>
        </w:numPr>
        <w:spacing w:after="90"/>
      </w:pPr>
      <w:r>
        <w:rPr>
          <w:rFonts w:ascii="Calibri" w:cs="Calibri" w:eastAsia="Calibri" w:hAnsi="Calibri"/>
          <w:color w:val="5C6678"/>
          <w:sz w:val="21"/>
          <w:szCs w:val="21"/>
        </w:rPr>
        <w:t xml:space="preserve">Centre-specific settings: opening hours, holiday calendar, branch-specific patient portal phone number, default radiologist on duty, and (Enterprise) per-centre branding.</w:t>
      </w:r>
    </w:p>
    <w:p>
      <w:pPr>
        <w:pStyle w:val="ListParagraph"/>
        <w:numPr>
          <w:ilvl w:val="0"/>
          <w:numId w:val="3"/>
        </w:numPr>
        <w:spacing w:after="90"/>
      </w:pPr>
      <w:r>
        <w:rPr>
          <w:rFonts w:ascii="Calibri" w:cs="Calibri" w:eastAsia="Calibri" w:hAnsi="Calibri"/>
          <w:color w:val="5C6678"/>
          <w:sz w:val="21"/>
          <w:szCs w:val="21"/>
        </w:rPr>
        <w:t xml:space="preserve">Plan-based centre limits: CoreCare (1), Standard (up to 3), Professional (up to 10), Enterprise (unlimited) — and the Additional Centre Slot add-on (₦180,000/centre/year on Professional).</w:t>
      </w:r>
    </w:p>
    <w:p>
      <w:pPr>
        <w:pStyle w:val="ListParagraph"/>
        <w:numPr>
          <w:ilvl w:val="0"/>
          <w:numId w:val="3"/>
        </w:numPr>
        <w:spacing w:after="90"/>
      </w:pPr>
      <w:r>
        <w:rPr>
          <w:rFonts w:ascii="Calibri" w:cs="Calibri" w:eastAsia="Calibri" w:hAnsi="Calibri"/>
          <w:color w:val="5C6678"/>
          <w:sz w:val="21"/>
          <w:szCs w:val="21"/>
        </w:rPr>
        <w:t xml:space="preserve">Branch types: main lab, satellite lab, collection centre, draw point — each with its own code, address, manager, hours, and optional price list.</w:t>
      </w:r>
    </w:p>
    <w:p>
      <w:pPr>
        <w:pStyle w:val="ListParagraph"/>
        <w:numPr>
          <w:ilvl w:val="0"/>
          <w:numId w:val="3"/>
        </w:numPr>
        <w:spacing w:after="90"/>
      </w:pPr>
      <w:r>
        <w:rPr>
          <w:rFonts w:ascii="Calibri" w:cs="Calibri" w:eastAsia="Calibri" w:hAnsi="Calibri"/>
          <w:color w:val="5C6678"/>
          <w:sz w:val="21"/>
          <w:szCs w:val="21"/>
        </w:rPr>
        <w:t xml:space="preserve">Cross-branch sample tracking through the parent lab's accession sequence, and per-branch inventory thresholds.</w:t>
      </w:r>
    </w:p>
    <w:p>
      <w:pPr>
        <w:pStyle w:val="ListParagraph"/>
        <w:numPr>
          <w:ilvl w:val="0"/>
          <w:numId w:val="3"/>
        </w:numPr>
        <w:spacing w:after="90"/>
      </w:pPr>
      <w:r>
        <w:rPr>
          <w:rFonts w:ascii="Calibri" w:cs="Calibri" w:eastAsia="Calibri" w:hAnsi="Calibri"/>
          <w:color w:val="5C6678"/>
          <w:sz w:val="21"/>
          <w:szCs w:val="21"/>
        </w:rPr>
        <w:t xml:space="preserve">Tenant Profile: legal/trading name, TIN, NHIS code, MLSCN registration, NHIA accreditation, ISO 15189 status, banking details, brand colour and logo, and the lab director's signature image.</w:t>
      </w:r>
    </w:p>
    <w:p>
      <w:pPr>
        <w:pStyle w:val="ListParagraph"/>
        <w:numPr>
          <w:ilvl w:val="0"/>
          <w:numId w:val="3"/>
        </w:numPr>
        <w:spacing w:after="90"/>
      </w:pPr>
      <w:r>
        <w:rPr>
          <w:rFonts w:ascii="Calibri" w:cs="Calibri" w:eastAsia="Calibri" w:hAnsi="Calibri"/>
          <w:color w:val="5C6678"/>
          <w:sz w:val="21"/>
          <w:szCs w:val="21"/>
        </w:rPr>
        <w:t xml:space="preserve">Branding scope (reports, patient portal, invoices, sidebar) and the "Powered by LabOS · AgoroX" attribution, removable only on Enterprise white-label.</w:t>
      </w:r>
    </w:p>
    <w:p>
      <w:pPr>
        <w:pStyle w:val="ListParagraph"/>
        <w:numPr>
          <w:ilvl w:val="0"/>
          <w:numId w:val="3"/>
        </w:numPr>
        <w:spacing w:after="90"/>
      </w:pPr>
      <w:r>
        <w:rPr>
          <w:rFonts w:ascii="Calibri" w:cs="Calibri" w:eastAsia="Calibri" w:hAnsi="Calibri"/>
          <w:color w:val="5C6678"/>
          <w:sz w:val="21"/>
          <w:szCs w:val="21"/>
        </w:rPr>
        <w:t xml:space="preserve">Custom pricing: the global platform price list as the baseline, Bulk markup by category, and per-test overrides.</w:t>
      </w:r>
    </w:p>
    <w:p>
      <w:pPr>
        <w:pStyle w:val="Heading2"/>
      </w:pPr>
      <w:r>
        <w:rPr>
          <w:rFonts w:ascii="Calibri" w:cs="Calibri" w:eastAsia="Calibri" w:hAnsi="Calibri"/>
        </w:rPr>
        <w:t xml:space="preserve">Step-by-Step Explanation</w:t>
      </w:r>
    </w:p>
    <w:p>
      <w:pPr>
        <w:spacing w:after="100" w:before="220"/>
      </w:pPr>
      <w:r>
        <w:rPr>
          <w:rFonts w:ascii="Calibri" w:cs="Calibri" w:eastAsia="Calibri" w:hAnsi="Calibri"/>
          <w:b/>
          <w:bCs/>
          <w:color w:val="0E1F33"/>
          <w:sz w:val="20"/>
          <w:szCs w:val="20"/>
        </w:rPr>
        <w:t xml:space="preserve">Adding and structuring branches correctly</w:t>
      </w:r>
    </w:p>
    <w:p>
      <w:pPr>
        <w:spacing w:after="160"/>
      </w:pPr>
      <w:r>
        <w:rPr>
          <w:rFonts w:ascii="Calibri" w:cs="Calibri" w:eastAsia="Calibri" w:hAnsi="Calibri"/>
          <w:color w:val="5C6678"/>
          <w:sz w:val="21"/>
          <w:szCs w:val="21"/>
        </w:rPr>
        <w:t xml:space="preserve">A new centre is added from Tenant profile → Centres → + Add centre, capturing name, address, GPS coordinates, phone, the head of branch, and operating hours — and it appears in the Active centre switcher (introduced in Module 1) immediately upon creation. Each centre can carry its own opening hours, holiday calendar, branch-specific patient portal phone number, default radiologist on duty, and — on Enterprise — its own distinct branding. How many centres you can add at all is governed by your subscription plan: CoreCare allows one, Standard up to three, Professional up to ten, and Enterprise is unlimited; a Professional-tier laboratory that needs just one centre beyond its limit can purchase an Additional Centre Slot add-on at ₦180,000 per centre per year rather than upgrading the entire plan tier.</w:t>
      </w:r>
    </w:p>
    <w:p>
      <w:pPr>
        <w:spacing w:after="100" w:before="220"/>
      </w:pPr>
      <w:r>
        <w:rPr>
          <w:rFonts w:ascii="Calibri" w:cs="Calibri" w:eastAsia="Calibri" w:hAnsi="Calibri"/>
          <w:b/>
          <w:bCs/>
          <w:color w:val="0E1F33"/>
          <w:sz w:val="20"/>
          <w:szCs w:val="20"/>
        </w:rPr>
        <w:t xml:space="preserve">Modelling real branch types, not just locations</w:t>
      </w:r>
    </w:p>
    <w:p>
      <w:pPr>
        <w:spacing w:after="160"/>
      </w:pPr>
      <w:r>
        <w:rPr>
          <w:rFonts w:ascii="Calibri" w:cs="Calibri" w:eastAsia="Calibri" w:hAnsi="Calibri"/>
          <w:color w:val="5C6678"/>
          <w:sz w:val="21"/>
          <w:szCs w:val="21"/>
        </w:rPr>
        <w:t xml:space="preserve">Beyond simply adding centres, LabOS distinguishes four branch types — main lab, satellite lab, collection centre, and draw point — each with its own code, address, manager, hours, and optionally its own price list. This distinction has real operational consequences covered in this module's Key Concepts: samples collected at a draw point are tracked through the parent lab's accession sequence, with the collection branch recorded on both the sample and the eventual report, and each branch maintains its own inventory with thresholds appropriate to its actual function — a main lab might reasonably need 100 EDTA tubes a week, while a draw point that only collects (and never processes) might need only 20. Selecting the correct branch type when configuring a new location, rather than defaulting every location to the same generic setup, is what makes these per-branch features actually reflect your real operations.</w:t>
      </w:r>
    </w:p>
    <w:p>
      <w:pPr>
        <w:spacing w:after="100" w:before="220"/>
      </w:pPr>
      <w:r>
        <w:rPr>
          <w:rFonts w:ascii="Calibri" w:cs="Calibri" w:eastAsia="Calibri" w:hAnsi="Calibri"/>
          <w:b/>
          <w:bCs/>
          <w:color w:val="0E1F33"/>
          <w:sz w:val="20"/>
          <w:szCs w:val="20"/>
        </w:rPr>
        <w:t xml:space="preserve">Building a complete, professional tenant profile</w:t>
      </w:r>
    </w:p>
    <w:p>
      <w:pPr>
        <w:spacing w:after="160"/>
      </w:pPr>
      <w:r>
        <w:rPr>
          <w:rFonts w:ascii="Calibri" w:cs="Calibri" w:eastAsia="Calibri" w:hAnsi="Calibri"/>
          <w:color w:val="5C6678"/>
          <w:sz w:val="21"/>
          <w:szCs w:val="21"/>
        </w:rPr>
        <w:t xml:space="preserve">Tenant Profile is where a laboratory establishes its identity within LabOS: legal name, trading name, Tax Identification Number, NHIS code, MLSCN registration, NHIA accreditation status, ISO 15189 status, contact details, banking details for settlements, a primary brand colour, a logo, and — critically for every signed report — the lab director's signature image, uploaded as a PNG with a transparent background at a maximum of 300×100 pixels. This branding appears everywhere a patient or referring clinician interacts with your laboratory: patient-facing reports, the patient portal, invoices, and the sidebar staff see when signed in. The "Powered by LabOS · AgoroX" attribution remains visible on every page by default; only Enterprise customers can remove it entirely for a fully white-labelled experience, arranged through their customer success manager rather than self-service.</w:t>
      </w:r>
    </w:p>
    <w:p>
      <w:pPr>
        <w:spacing w:after="100" w:before="220"/>
      </w:pPr>
      <w:r>
        <w:rPr>
          <w:rFonts w:ascii="Calibri" w:cs="Calibri" w:eastAsia="Calibri" w:hAnsi="Calibri"/>
          <w:b/>
          <w:bCs/>
          <w:color w:val="0E1F33"/>
          <w:sz w:val="20"/>
          <w:szCs w:val="20"/>
        </w:rPr>
        <w:t xml:space="preserve">Tenant-level versus platform-level: knowing where the boundary is</w:t>
      </w:r>
    </w:p>
    <w:p>
      <w:pPr>
        <w:spacing w:after="160"/>
      </w:pPr>
      <w:r>
        <w:rPr>
          <w:rFonts w:ascii="Calibri" w:cs="Calibri" w:eastAsia="Calibri" w:hAnsi="Calibri"/>
          <w:color w:val="5C6678"/>
          <w:sz w:val="21"/>
          <w:szCs w:val="21"/>
        </w:rPr>
        <w:t xml:space="preserve">Everything just described — name, branding, accreditation, signature — is tenant-level configuration, meaning your laboratory manages it directly. A separate category, platform-level configuration, covers things like tenancy onboarding itself, your subscription tier, and feature flags — and this lives in a platform admin console used by AgoroX support, not inside Tenant Profile at all. A tenant administrator who understands this boundary knows immediately to contact AgoroX support for a genuine platform-level need, rather than searching Tenant Profile repeatedly for a setting that was simply never going to be there.</w:t>
      </w:r>
    </w:p>
    <w:p>
      <w:pPr>
        <w:spacing w:after="100" w:before="220"/>
      </w:pPr>
      <w:r>
        <w:rPr>
          <w:rFonts w:ascii="Calibri" w:cs="Calibri" w:eastAsia="Calibri" w:hAnsi="Calibri"/>
          <w:b/>
          <w:bCs/>
          <w:color w:val="0E1F33"/>
          <w:sz w:val="20"/>
          <w:szCs w:val="20"/>
        </w:rPr>
        <w:t xml:space="preserve">Applying pricing correctly</w:t>
      </w:r>
    </w:p>
    <w:p>
      <w:pPr>
        <w:spacing w:after="160"/>
      </w:pPr>
      <w:r>
        <w:rPr>
          <w:rFonts w:ascii="Calibri" w:cs="Calibri" w:eastAsia="Calibri" w:hAnsi="Calibri"/>
          <w:color w:val="5C6678"/>
          <w:sz w:val="21"/>
          <w:szCs w:val="21"/>
        </w:rPr>
        <w:t xml:space="preserve">LabOS ships with a single global price list covering every catalogue test, and as tenant administrator you override this baseline to reflect your own costs, market position, and any corporate contracts — the underlying platform price never changes, only what your specific patients see and are billed. For a category-wide adjustment, the Pricing page's Bulk markup tool lets you pick a category (or all tests), choose an increase or decrease, enter a percentage, and round to a sensible figure (₦100, ₦500, or ₦1000), previewing the revenue impact before applying it — this is the right tool whenever a change applies broadly. For a genuine individual exception, clicking directly on any test row sets an exact price for that single test, visibly highlighted in green and reflected in your overall delta-versus-platform indicator. Using bulk markup for broad changes and per-test overrides only for true exceptions keeps a pricing structure that started clean from becoming an unmaintainable patchwork of individually-remembered exceptions as your catalogue and tenant grow.</w:t>
      </w:r>
    </w:p>
    <w:p>
      <w:pPr>
        <w:pStyle w:val="Heading2"/>
      </w:pPr>
      <w:r>
        <w:rPr>
          <w:rFonts w:ascii="Calibri" w:cs="Calibri" w:eastAsia="Calibri" w:hAnsi="Calibri"/>
        </w:rPr>
        <w:t xml:space="preserve">Best Practices</w:t>
      </w:r>
    </w:p>
    <w:p>
      <w:pPr>
        <w:pStyle w:val="ListParagraph"/>
        <w:numPr>
          <w:ilvl w:val="0"/>
          <w:numId w:val="3"/>
        </w:numPr>
        <w:spacing w:after="90"/>
      </w:pPr>
      <w:r>
        <w:rPr>
          <w:rFonts w:ascii="Calibri" w:cs="Calibri" w:eastAsia="Calibri" w:hAnsi="Calibri"/>
          <w:color w:val="5C6678"/>
          <w:sz w:val="21"/>
          <w:szCs w:val="21"/>
        </w:rPr>
        <w:t xml:space="preserve">Choose the correct branch type (main lab, satellite, collection centre, draw point) at creation time based on real function, not just to get a location into the system quickly.</w:t>
      </w:r>
    </w:p>
    <w:p>
      <w:pPr>
        <w:pStyle w:val="ListParagraph"/>
        <w:numPr>
          <w:ilvl w:val="0"/>
          <w:numId w:val="3"/>
        </w:numPr>
        <w:spacing w:after="90"/>
      </w:pPr>
      <w:r>
        <w:rPr>
          <w:rFonts w:ascii="Calibri" w:cs="Calibri" w:eastAsia="Calibri" w:hAnsi="Calibri"/>
          <w:color w:val="5C6678"/>
          <w:sz w:val="21"/>
          <w:szCs w:val="21"/>
        </w:rPr>
        <w:t xml:space="preserve">Complete every Tenant Profile field — including accreditation and the signature image — before your first live report is issued, not as a follow-up task.</w:t>
      </w:r>
    </w:p>
    <w:p>
      <w:pPr>
        <w:pStyle w:val="ListParagraph"/>
        <w:numPr>
          <w:ilvl w:val="0"/>
          <w:numId w:val="3"/>
        </w:numPr>
        <w:spacing w:after="90"/>
      </w:pPr>
      <w:r>
        <w:rPr>
          <w:rFonts w:ascii="Calibri" w:cs="Calibri" w:eastAsia="Calibri" w:hAnsi="Calibri"/>
          <w:color w:val="5C6678"/>
          <w:sz w:val="21"/>
          <w:szCs w:val="21"/>
        </w:rPr>
        <w:t xml:space="preserve">Use Bulk markup for any pricing change affecting more than a small handful of tests, reserving per-test overrides for genuine, specific exceptions.</w:t>
      </w:r>
    </w:p>
    <w:p>
      <w:pPr>
        <w:pStyle w:val="ListParagraph"/>
        <w:numPr>
          <w:ilvl w:val="0"/>
          <w:numId w:val="3"/>
        </w:numPr>
        <w:spacing w:after="90"/>
      </w:pPr>
      <w:r>
        <w:rPr>
          <w:rFonts w:ascii="Calibri" w:cs="Calibri" w:eastAsia="Calibri" w:hAnsi="Calibri"/>
          <w:color w:val="5C6678"/>
          <w:sz w:val="21"/>
          <w:szCs w:val="21"/>
        </w:rPr>
        <w:t xml:space="preserve">When a Professional-tier laboratory needs just one centre beyond its limit, compare the Additional Centre Slot add-on cost against a full plan upgrade before deciding which is more economical.</w:t>
      </w:r>
    </w:p>
    <w:p>
      <w:pPr>
        <w:pStyle w:val="Heading2"/>
      </w:pPr>
      <w:r>
        <w:rPr>
          <w:rFonts w:ascii="Calibri" w:cs="Calibri" w:eastAsia="Calibri" w:hAnsi="Calibri"/>
        </w:rPr>
        <w:t xml:space="preserve">Common Errors</w:t>
      </w:r>
    </w:p>
    <w:p>
      <w:pPr>
        <w:pStyle w:val="ListParagraph"/>
        <w:numPr>
          <w:ilvl w:val="0"/>
          <w:numId w:val="3"/>
        </w:numPr>
        <w:spacing w:after="90"/>
      </w:pPr>
      <w:r>
        <w:rPr>
          <w:rFonts w:ascii="Calibri" w:cs="Calibri" w:eastAsia="Calibri" w:hAnsi="Calibri"/>
          <w:color w:val="5C6678"/>
          <w:sz w:val="21"/>
          <w:szCs w:val="21"/>
        </w:rPr>
        <w:t xml:space="preserve">Configuring every physical location as a generic "branch" without selecting the correct type, leading to inventory thresholds and reporting that don't match real usage.</w:t>
      </w:r>
    </w:p>
    <w:p>
      <w:pPr>
        <w:pStyle w:val="ListParagraph"/>
        <w:numPr>
          <w:ilvl w:val="0"/>
          <w:numId w:val="3"/>
        </w:numPr>
        <w:spacing w:after="90"/>
      </w:pPr>
      <w:r>
        <w:rPr>
          <w:rFonts w:ascii="Calibri" w:cs="Calibri" w:eastAsia="Calibri" w:hAnsi="Calibri"/>
          <w:color w:val="5C6678"/>
          <w:sz w:val="21"/>
          <w:szCs w:val="21"/>
        </w:rPr>
        <w:t xml:space="preserve">Issuing live patient reports before the Tenant Profile — particularly the signature image and accreditation fields — is fully complete.</w:t>
      </w:r>
    </w:p>
    <w:p>
      <w:pPr>
        <w:pStyle w:val="ListParagraph"/>
        <w:numPr>
          <w:ilvl w:val="0"/>
          <w:numId w:val="3"/>
        </w:numPr>
        <w:spacing w:after="90"/>
      </w:pPr>
      <w:r>
        <w:rPr>
          <w:rFonts w:ascii="Calibri" w:cs="Calibri" w:eastAsia="Calibri" w:hAnsi="Calibri"/>
          <w:color w:val="5C6678"/>
          <w:sz w:val="21"/>
          <w:szCs w:val="21"/>
        </w:rPr>
        <w:t xml:space="preserve">Setting individual per-test price overrides one at a time for what was actually a category-wide pricing decision, creating an inconsistent and hard-to-audit price list over time.</w:t>
      </w:r>
    </w:p>
    <w:p>
      <w:pPr>
        <w:pStyle w:val="ListParagraph"/>
        <w:numPr>
          <w:ilvl w:val="0"/>
          <w:numId w:val="3"/>
        </w:numPr>
        <w:spacing w:after="90"/>
      </w:pPr>
      <w:r>
        <w:rPr>
          <w:rFonts w:ascii="Calibri" w:cs="Calibri" w:eastAsia="Calibri" w:hAnsi="Calibri"/>
          <w:color w:val="5C6678"/>
          <w:sz w:val="21"/>
          <w:szCs w:val="21"/>
        </w:rPr>
        <w:t xml:space="preserve">Searching repeatedly inside Tenant Profile for a subscription-tier or feature-flag change that is actually platform-level and requires contacting AgoroX support.</w:t>
      </w:r>
    </w:p>
    <w:p>
      <w:pPr>
        <w:pStyle w:val="Heading2"/>
      </w:pPr>
      <w:r>
        <w:rPr>
          <w:rFonts w:ascii="Calibri" w:cs="Calibri" w:eastAsia="Calibri" w:hAnsi="Calibri"/>
        </w:rPr>
        <w:t xml:space="preserve">Practical Exercise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C46A3E" w:sz="18"/>
              <w:bottom w:val="single" w:color="D8DCE2" w:sz="4"/>
              <w:right w:val="single" w:color="D8DCE2" w:sz="4"/>
            </w:tcBorders>
            <w:shd w:fill="E8F3FE" w:val="clear"/>
            <w:tcMar>
              <w:top w:type="dxa" w:w="180"/>
              <w:left w:type="dxa" w:w="220"/>
              <w:bottom w:type="dxa" w:w="180"/>
              <w:right w:type="dxa" w:w="220"/>
            </w:tcMar>
          </w:tcPr>
          <w:p>
            <w:pPr>
              <w:spacing w:after="90"/>
            </w:pPr>
            <w:r>
              <w:rPr>
                <w:rFonts w:ascii="Calibri" w:cs="Calibri" w:eastAsia="Calibri" w:hAnsi="Calibri"/>
                <w:b/>
                <w:bCs/>
                <w:color w:val="A8552E"/>
                <w:spacing w:val="8"/>
                <w:sz w:val="19"/>
                <w:szCs w:val="19"/>
              </w:rPr>
              <w:t xml:space="preserve">EXERCISE 4.2 — STRUCTURE AND BRAND A MULTI-BRANCH TENANT</w:t>
            </w:r>
          </w:p>
          <w:p>
            <w:r>
              <w:rPr>
                <w:rFonts w:ascii="Calibri" w:cs="Calibri" w:eastAsia="Calibri" w:hAnsi="Calibri"/>
                <w:i/>
                <w:iCs/>
                <w:color w:val="0E1F33"/>
                <w:sz w:val="21"/>
                <w:szCs w:val="21"/>
              </w:rPr>
              <w:t xml:space="preserve">In a sandbox LabOS environment, add two centres of different types — one as a main lab and one as a draw point — capturing full details for each, including operating hours. Complete the Tenant Profile fields fully, including a placeholder logo and a sample signature image meeting the size requirement. Then apply a 10% bulk markup to one full test category, and separately set one individual per-test override for a different test, explaining in one sentence why that specific test warranted an individual exception rather than being part of the bulk change.</w:t>
            </w:r>
          </w:p>
        </w:tc>
      </w:tr>
    </w:tbl>
    <w:p>
      <w:pPr>
        <w:pStyle w:val="Heading2"/>
      </w:pPr>
      <w:r>
        <w:rPr>
          <w:rFonts w:ascii="Calibri" w:cs="Calibri" w:eastAsia="Calibri" w:hAnsi="Calibri"/>
        </w:rPr>
        <w:t xml:space="preserve">Knowledge Check</w:t>
      </w:r>
    </w:p>
    <w:p>
      <w:pPr>
        <w:spacing w:after="50" w:before="140"/>
      </w:pPr>
      <w:r>
        <w:rPr>
          <w:rFonts w:ascii="Calibri" w:cs="Calibri" w:eastAsia="Calibri" w:hAnsi="Calibri"/>
          <w:b/>
          <w:bCs/>
          <w:color w:val="0E1F33"/>
          <w:sz w:val="21"/>
          <w:szCs w:val="21"/>
        </w:rPr>
        <w:t xml:space="preserve">1. A laboratory has a main processing lab and three small locations that only collect samples for it. How should the three small locations be configured, and why does it matter?</w:t>
      </w:r>
    </w:p>
    <w:p>
      <w:pPr>
        <w:spacing w:after="60"/>
      </w:pPr>
      <w:r>
        <w:rPr>
          <w:rFonts w:ascii="Calibri" w:cs="Calibri" w:eastAsia="Calibri" w:hAnsi="Calibri"/>
          <w:color w:val="5C6678"/>
          <w:sz w:val="20"/>
          <w:szCs w:val="20"/>
        </w:rPr>
        <w:t xml:space="preserve">They should be configured as draw points (or collection centres, depending on their exact function), not as additional main labs — this matters because branch type drives realistic inventory thresholds and correctly routes their collected samples through the parent lab's accession sequence, rather than treating each as an independent full laboratory.</w:t>
      </w:r>
    </w:p>
    <w:p>
      <w:pPr>
        <w:spacing w:after="50" w:before="140"/>
      </w:pPr>
      <w:r>
        <w:rPr>
          <w:rFonts w:ascii="Calibri" w:cs="Calibri" w:eastAsia="Calibri" w:hAnsi="Calibri"/>
          <w:b/>
          <w:bCs/>
          <w:color w:val="0E1F33"/>
          <w:sz w:val="21"/>
          <w:szCs w:val="21"/>
        </w:rPr>
        <w:t xml:space="preserve">2. A tenant administrator wants to remove the "Powered by LabOS · AgoroX" attribution from their patient reports. What plan tier is required, and how is it arranged?</w:t>
      </w:r>
    </w:p>
    <w:p>
      <w:pPr>
        <w:spacing w:after="60"/>
      </w:pPr>
      <w:r>
        <w:rPr>
          <w:rFonts w:ascii="Calibri" w:cs="Calibri" w:eastAsia="Calibri" w:hAnsi="Calibri"/>
          <w:color w:val="5C6678"/>
          <w:sz w:val="20"/>
          <w:szCs w:val="20"/>
        </w:rPr>
        <w:t xml:space="preserve">Enterprise — and full white-labelling is arranged through the customer success manager rather than being a self-service Tenant Profile setting, since it represents a deeper change to the product relationship, not just a branding toggle.</w:t>
      </w:r>
    </w:p>
    <w:p>
      <w:pPr>
        <w:spacing w:after="50" w:before="140"/>
      </w:pPr>
      <w:r>
        <w:rPr>
          <w:rFonts w:ascii="Calibri" w:cs="Calibri" w:eastAsia="Calibri" w:hAnsi="Calibri"/>
          <w:b/>
          <w:bCs/>
          <w:color w:val="0E1F33"/>
          <w:sz w:val="21"/>
          <w:szCs w:val="21"/>
        </w:rPr>
        <w:t xml:space="preserve">3. Why is Bulk markup generally preferable to setting many individual per-test price overrides one at a time?</w:t>
      </w:r>
    </w:p>
    <w:p>
      <w:pPr>
        <w:spacing w:after="60"/>
      </w:pPr>
      <w:r>
        <w:rPr>
          <w:rFonts w:ascii="Calibri" w:cs="Calibri" w:eastAsia="Calibri" w:hAnsi="Calibri"/>
          <w:color w:val="5C6678"/>
          <w:sz w:val="20"/>
          <w:szCs w:val="20"/>
        </w:rPr>
        <w:t xml:space="preserve">Because per-test overrides accumulated one at a time become an inconsistent, hard-to-audit patchwork as the catalogue grows, while Bulk markup applies a consistent, previewable, category-wide change in a single deliberate action — per-test overrides should be reserved for genuine individual exceptions, not used as the default method for broad changes.</w:t>
      </w:r>
    </w:p>
    <w:p>
      <w:pPr>
        <w:pBdr>
          <w:top w:val="single" w:color="0E1F33" w:sz="14" w:space="10"/>
        </w:pBdr>
        <w:spacing w:after="200" w:before="360"/>
      </w:pPr>
      <w:r>
        <w:rPr>
          <w:rFonts w:ascii="Calibri" w:cs="Calibri" w:eastAsia="Calibri" w:hAnsi="Calibri"/>
          <w:b/>
          <w:bCs/>
          <w:color w:val="0E1F33"/>
          <w:spacing w:val="10"/>
          <w:sz w:val="19"/>
          <w:szCs w:val="19"/>
        </w:rPr>
        <w:t xml:space="preserve">VIDEO SCRIPT — LESSON 4.2</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TITLE</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"Branches, Tenant Identity, and Pricing" — CLA Module 4, Lesson 2</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OBJECTIVE</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Learner can structure branches by real type, complete a professional tenant profile, and apply both bulk and per-test pricing correctly.</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RECOMMENDED DURATION</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10–12 minutes</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FORMAT</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Screen recording with presenter voiceover, structured as three connected segments (branches / identity / pricing)</w:t>
            </w:r>
          </w:p>
        </w:tc>
      </w:tr>
    </w:tbl>
    <w:p>
      <w:pPr>
        <w:spacing w:after="180"/>
      </w:pPr>
    </w:p>
    <w:p>
      <w:pPr>
        <w:spacing w:after="100" w:before="220"/>
      </w:pPr>
      <w:r>
        <w:rPr>
          <w:rFonts w:ascii="Calibri" w:cs="Calibri" w:eastAsia="Calibri" w:hAnsi="Calibri"/>
          <w:b/>
          <w:bCs/>
          <w:color w:val="0E1F33"/>
          <w:sz w:val="22"/>
          <w:szCs w:val="22"/>
        </w:rPr>
        <w:t xml:space="preserve">Detailed Video Outline</w:t>
      </w:r>
    </w:p>
    <w:p>
      <w:pPr>
        <w:pStyle w:val="ListParagraph"/>
        <w:numPr>
          <w:ilvl w:val="0"/>
          <w:numId w:val="6"/>
        </w:numPr>
        <w:spacing w:after="90"/>
      </w:pPr>
      <w:r>
        <w:rPr>
          <w:rFonts w:ascii="Calibri" w:cs="Calibri" w:eastAsia="Calibri" w:hAnsi="Calibri"/>
          <w:color w:val="5C6678"/>
          <w:sz w:val="21"/>
          <w:szCs w:val="21"/>
        </w:rPr>
        <w:t xml:space="preserve">Cold open (0:00–0:40) — "Every report your lab issues carries three things you're about to set up — let's get them right the first time."</w:t>
      </w:r>
    </w:p>
    <w:p>
      <w:pPr>
        <w:pStyle w:val="ListParagraph"/>
        <w:numPr>
          <w:ilvl w:val="0"/>
          <w:numId w:val="6"/>
        </w:numPr>
        <w:spacing w:after="90"/>
      </w:pPr>
      <w:r>
        <w:rPr>
          <w:rFonts w:ascii="Calibri" w:cs="Calibri" w:eastAsia="Calibri" w:hAnsi="Calibri"/>
          <w:color w:val="5C6678"/>
          <w:sz w:val="21"/>
          <w:szCs w:val="21"/>
        </w:rPr>
        <w:t xml:space="preserve">Adding a centre, live demo, narrating plan-tier limits (0:40–2:30).</w:t>
      </w:r>
    </w:p>
    <w:p>
      <w:pPr>
        <w:pStyle w:val="ListParagraph"/>
        <w:numPr>
          <w:ilvl w:val="0"/>
          <w:numId w:val="6"/>
        </w:numPr>
        <w:spacing w:after="90"/>
      </w:pPr>
      <w:r>
        <w:rPr>
          <w:rFonts w:ascii="Calibri" w:cs="Calibri" w:eastAsia="Calibri" w:hAnsi="Calibri"/>
          <w:color w:val="5C6678"/>
          <w:sz w:val="21"/>
          <w:szCs w:val="21"/>
        </w:rPr>
        <w:t xml:space="preserve">The four branch types and why they matter operationally, using the main-lab vs. draw-point inventory example (2:30–4:00).</w:t>
      </w:r>
    </w:p>
    <w:p>
      <w:pPr>
        <w:pStyle w:val="ListParagraph"/>
        <w:numPr>
          <w:ilvl w:val="0"/>
          <w:numId w:val="6"/>
        </w:numPr>
        <w:spacing w:after="90"/>
      </w:pPr>
      <w:r>
        <w:rPr>
          <w:rFonts w:ascii="Calibri" w:cs="Calibri" w:eastAsia="Calibri" w:hAnsi="Calibri"/>
          <w:color w:val="5C6678"/>
          <w:sz w:val="21"/>
          <w:szCs w:val="21"/>
        </w:rPr>
        <w:t xml:space="preserve">Tenant Profile walkthrough: identity fields, signature image upload, branding scope (4:00–6:30).</w:t>
      </w:r>
    </w:p>
    <w:p>
      <w:pPr>
        <w:pStyle w:val="ListParagraph"/>
        <w:numPr>
          <w:ilvl w:val="0"/>
          <w:numId w:val="6"/>
        </w:numPr>
        <w:spacing w:after="90"/>
      </w:pPr>
      <w:r>
        <w:rPr>
          <w:rFonts w:ascii="Calibri" w:cs="Calibri" w:eastAsia="Calibri" w:hAnsi="Calibri"/>
          <w:color w:val="5C6678"/>
          <w:sz w:val="21"/>
          <w:szCs w:val="21"/>
        </w:rPr>
        <w:t xml:space="preserve">Tenant-level vs. platform-level boundary, brief and direct (6:30–7:15).</w:t>
      </w:r>
    </w:p>
    <w:p>
      <w:pPr>
        <w:pStyle w:val="ListParagraph"/>
        <w:numPr>
          <w:ilvl w:val="0"/>
          <w:numId w:val="6"/>
        </w:numPr>
        <w:spacing w:after="90"/>
      </w:pPr>
      <w:r>
        <w:rPr>
          <w:rFonts w:ascii="Calibri" w:cs="Calibri" w:eastAsia="Calibri" w:hAnsi="Calibri"/>
          <w:color w:val="5C6678"/>
          <w:sz w:val="21"/>
          <w:szCs w:val="21"/>
        </w:rPr>
        <w:t xml:space="preserve">Pricing: Bulk markup demo, then a per-test override demo, contrasted directly (7:15–9:30).</w:t>
      </w:r>
    </w:p>
    <w:p>
      <w:pPr>
        <w:pStyle w:val="ListParagraph"/>
        <w:numPr>
          <w:ilvl w:val="0"/>
          <w:numId w:val="6"/>
        </w:numPr>
        <w:spacing w:after="90"/>
      </w:pPr>
      <w:r>
        <w:rPr>
          <w:rFonts w:ascii="Calibri" w:cs="Calibri" w:eastAsia="Calibri" w:hAnsi="Calibri"/>
          <w:color w:val="5C6678"/>
          <w:sz w:val="21"/>
          <w:szCs w:val="21"/>
        </w:rPr>
        <w:t xml:space="preserve">Close + transition to Lesson 4.3 (9:30–end).</w:t>
      </w:r>
    </w:p>
    <w:p>
      <w:pPr>
        <w:spacing w:after="100" w:before="220"/>
      </w:pPr>
      <w:r>
        <w:rPr>
          <w:rFonts w:ascii="Calibri" w:cs="Calibri" w:eastAsia="Calibri" w:hAnsi="Calibri"/>
          <w:b/>
          <w:bCs/>
          <w:color w:val="0E1F33"/>
          <w:sz w:val="22"/>
          <w:szCs w:val="22"/>
        </w:rPr>
        <w:t xml:space="preserve">Presenter Talking Points</w:t>
      </w:r>
    </w:p>
    <w:p>
      <w:pPr>
        <w:pStyle w:val="ListParagraph"/>
        <w:numPr>
          <w:ilvl w:val="0"/>
          <w:numId w:val="3"/>
        </w:numPr>
        <w:spacing w:after="90"/>
      </w:pPr>
      <w:r>
        <w:rPr>
          <w:rFonts w:ascii="Calibri" w:cs="Calibri" w:eastAsia="Calibri" w:hAnsi="Calibri"/>
          <w:color w:val="5C6678"/>
          <w:sz w:val="21"/>
          <w:szCs w:val="21"/>
        </w:rPr>
        <w:t xml:space="preserve">When adding a centre, state the plan-tier limit out loud as you do it: "This sandbox is on Professional, so I have room for up to ten of these."</w:t>
      </w:r>
    </w:p>
    <w:p>
      <w:pPr>
        <w:pStyle w:val="ListParagraph"/>
        <w:numPr>
          <w:ilvl w:val="0"/>
          <w:numId w:val="3"/>
        </w:numPr>
        <w:spacing w:after="90"/>
      </w:pPr>
      <w:r>
        <w:rPr>
          <w:rFonts w:ascii="Calibri" w:cs="Calibri" w:eastAsia="Calibri" w:hAnsi="Calibri"/>
          <w:color w:val="5C6678"/>
          <w:sz w:val="21"/>
          <w:szCs w:val="21"/>
        </w:rPr>
        <w:t xml:space="preserve">At branch type selection, use the concrete inventory numbers directly: "A hundred tubes a week here, versus maybe twenty at a draw point — that's not a guess, that's why the branch type field exists."</w:t>
      </w:r>
    </w:p>
    <w:p>
      <w:pPr>
        <w:pStyle w:val="ListParagraph"/>
        <w:numPr>
          <w:ilvl w:val="0"/>
          <w:numId w:val="3"/>
        </w:numPr>
        <w:spacing w:after="90"/>
      </w:pPr>
      <w:r>
        <w:rPr>
          <w:rFonts w:ascii="Calibri" w:cs="Calibri" w:eastAsia="Calibri" w:hAnsi="Calibri"/>
          <w:color w:val="5C6678"/>
          <w:sz w:val="21"/>
          <w:szCs w:val="21"/>
        </w:rPr>
        <w:t xml:space="preserve">During the signature image upload, narrate the exact spec out loud: "Transparent background, 300 by 100 pixels max — get this right now, because it's going on every signed report from here on."</w:t>
      </w:r>
    </w:p>
    <w:p>
      <w:pPr>
        <w:pStyle w:val="ListParagraph"/>
        <w:numPr>
          <w:ilvl w:val="0"/>
          <w:numId w:val="3"/>
        </w:numPr>
        <w:spacing w:after="90"/>
      </w:pPr>
      <w:r>
        <w:rPr>
          <w:rFonts w:ascii="Calibri" w:cs="Calibri" w:eastAsia="Calibri" w:hAnsi="Calibri"/>
          <w:color w:val="5C6678"/>
          <w:sz w:val="21"/>
          <w:szCs w:val="21"/>
        </w:rPr>
        <w:t xml:space="preserve">When contrasting bulk markup and per-test overrides, be explicit about the decision rule: "If you're touching more than a handful of tests, stop and ask whether this should really be a bulk action instead."</w:t>
      </w:r>
    </w:p>
    <w:p>
      <w:pPr>
        <w:spacing w:after="100" w:before="220"/>
      </w:pPr>
      <w:r>
        <w:rPr>
          <w:rFonts w:ascii="Calibri" w:cs="Calibri" w:eastAsia="Calibri" w:hAnsi="Calibri"/>
          <w:b/>
          <w:bCs/>
          <w:color w:val="0E1F33"/>
          <w:sz w:val="22"/>
          <w:szCs w:val="22"/>
        </w:rPr>
        <w:t xml:space="preserve">Demonstration Steps (Screen Recording)</w:t>
      </w:r>
    </w:p>
    <w:p>
      <w:pPr>
        <w:pStyle w:val="ListParagraph"/>
        <w:numPr>
          <w:ilvl w:val="0"/>
          <w:numId w:val="7"/>
        </w:numPr>
        <w:spacing w:after="90"/>
      </w:pPr>
      <w:r>
        <w:rPr>
          <w:rFonts w:ascii="Calibri" w:cs="Calibri" w:eastAsia="Calibri" w:hAnsi="Calibri"/>
          <w:color w:val="5C6678"/>
          <w:sz w:val="21"/>
          <w:szCs w:val="21"/>
        </w:rPr>
        <w:t xml:space="preserve">Tenant profile → Centres → + Add centre. Fill name, address, GPS, phone, head of branch, hours for a main-lab-type centre.</w:t>
      </w:r>
    </w:p>
    <w:p>
      <w:pPr>
        <w:pStyle w:val="ListParagraph"/>
        <w:numPr>
          <w:ilvl w:val="0"/>
          <w:numId w:val="7"/>
        </w:numPr>
        <w:spacing w:after="90"/>
      </w:pPr>
      <w:r>
        <w:rPr>
          <w:rFonts w:ascii="Calibri" w:cs="Calibri" w:eastAsia="Calibri" w:hAnsi="Calibri"/>
          <w:color w:val="5C6678"/>
          <w:sz w:val="21"/>
          <w:szCs w:val="21"/>
        </w:rPr>
        <w:t xml:space="preserve">Repeat briefly for a second centre, this time selecting draw point as the branch type, and point out the different inventory defaults.</w:t>
      </w:r>
    </w:p>
    <w:p>
      <w:pPr>
        <w:pStyle w:val="ListParagraph"/>
        <w:numPr>
          <w:ilvl w:val="0"/>
          <w:numId w:val="7"/>
        </w:numPr>
        <w:spacing w:after="90"/>
      </w:pPr>
      <w:r>
        <w:rPr>
          <w:rFonts w:ascii="Calibri" w:cs="Calibri" w:eastAsia="Calibri" w:hAnsi="Calibri"/>
          <w:color w:val="5C6678"/>
          <w:sz w:val="21"/>
          <w:szCs w:val="21"/>
        </w:rPr>
        <w:t xml:space="preserve">Open Tenant Profile, fill legal/trading name, TIN, NHIS code, MLSCN/accreditation fields, upload a placeholder logo and signature image.</w:t>
      </w:r>
    </w:p>
    <w:p>
      <w:pPr>
        <w:pStyle w:val="ListParagraph"/>
        <w:numPr>
          <w:ilvl w:val="0"/>
          <w:numId w:val="7"/>
        </w:numPr>
        <w:spacing w:after="90"/>
      </w:pPr>
      <w:r>
        <w:rPr>
          <w:rFonts w:ascii="Calibri" w:cs="Calibri" w:eastAsia="Calibri" w:hAnsi="Calibri"/>
          <w:color w:val="5C6678"/>
          <w:sz w:val="21"/>
          <w:szCs w:val="21"/>
        </w:rPr>
        <w:t xml:space="preserve">Briefly show where platform-level settings would be (greyed out or absent) versus tenant-level fields, to reinforce the boundary.</w:t>
      </w:r>
    </w:p>
    <w:p>
      <w:pPr>
        <w:pStyle w:val="ListParagraph"/>
        <w:numPr>
          <w:ilvl w:val="0"/>
          <w:numId w:val="7"/>
        </w:numPr>
        <w:spacing w:after="90"/>
      </w:pPr>
      <w:r>
        <w:rPr>
          <w:rFonts w:ascii="Calibri" w:cs="Calibri" w:eastAsia="Calibri" w:hAnsi="Calibri"/>
          <w:color w:val="5C6678"/>
          <w:sz w:val="21"/>
          <w:szCs w:val="21"/>
        </w:rPr>
        <w:t xml:space="preserve">Open Pricing, run a Bulk markup on one category with a preview shown before applying.</w:t>
      </w:r>
    </w:p>
    <w:p>
      <w:pPr>
        <w:pStyle w:val="ListParagraph"/>
        <w:numPr>
          <w:ilvl w:val="0"/>
          <w:numId w:val="7"/>
        </w:numPr>
        <w:spacing w:after="90"/>
      </w:pPr>
      <w:r>
        <w:rPr>
          <w:rFonts w:ascii="Calibri" w:cs="Calibri" w:eastAsia="Calibri" w:hAnsi="Calibri"/>
          <w:color w:val="5C6678"/>
          <w:sz w:val="21"/>
          <w:szCs w:val="21"/>
        </w:rPr>
        <w:t xml:space="preserve">Click into one individual test row, set a specific override, show the green highlight and updated delta-vs-platform indicator.</w:t>
      </w:r>
    </w:p>
    <w:p>
      <w:pPr>
        <w:spacing w:after="100" w:before="220"/>
      </w:pPr>
      <w:r>
        <w:rPr>
          <w:rFonts w:ascii="Calibri" w:cs="Calibri" w:eastAsia="Calibri" w:hAnsi="Calibri"/>
          <w:b/>
          <w:bCs/>
          <w:color w:val="0E1F33"/>
          <w:sz w:val="22"/>
          <w:szCs w:val="22"/>
        </w:rPr>
        <w:t xml:space="preserve">Key Takeaways (on-screen end card)</w:t>
      </w:r>
    </w:p>
    <w:p>
      <w:pPr>
        <w:pStyle w:val="ListParagraph"/>
        <w:numPr>
          <w:ilvl w:val="0"/>
          <w:numId w:val="3"/>
        </w:numPr>
        <w:spacing w:after="90"/>
      </w:pPr>
      <w:r>
        <w:rPr>
          <w:rFonts w:ascii="Calibri" w:cs="Calibri" w:eastAsia="Calibri" w:hAnsi="Calibri"/>
          <w:color w:val="5C6678"/>
          <w:sz w:val="21"/>
          <w:szCs w:val="21"/>
        </w:rPr>
        <w:t xml:space="preserve">Centre limits are plan-tier driven — know your ceiling, and the Additional Centre Slot option, before you need them.</w:t>
      </w:r>
    </w:p>
    <w:p>
      <w:pPr>
        <w:pStyle w:val="ListParagraph"/>
        <w:numPr>
          <w:ilvl w:val="0"/>
          <w:numId w:val="3"/>
        </w:numPr>
        <w:spacing w:after="90"/>
      </w:pPr>
      <w:r>
        <w:rPr>
          <w:rFonts w:ascii="Calibri" w:cs="Calibri" w:eastAsia="Calibri" w:hAnsi="Calibri"/>
          <w:color w:val="5C6678"/>
          <w:sz w:val="21"/>
          <w:szCs w:val="21"/>
        </w:rPr>
        <w:t xml:space="preserve">Branch type isn't cosmetic — it drives real inventory thresholds and sample routing.</w:t>
      </w:r>
    </w:p>
    <w:p>
      <w:pPr>
        <w:pStyle w:val="ListParagraph"/>
        <w:numPr>
          <w:ilvl w:val="0"/>
          <w:numId w:val="3"/>
        </w:numPr>
        <w:spacing w:after="90"/>
      </w:pPr>
      <w:r>
        <w:rPr>
          <w:rFonts w:ascii="Calibri" w:cs="Calibri" w:eastAsia="Calibri" w:hAnsi="Calibri"/>
          <w:color w:val="5C6678"/>
          <w:sz w:val="21"/>
          <w:szCs w:val="21"/>
        </w:rPr>
        <w:t xml:space="preserve">Complete Tenant Profile, including the signature image, before your first live report.</w:t>
      </w:r>
    </w:p>
    <w:p>
      <w:pPr>
        <w:pStyle w:val="ListParagraph"/>
        <w:numPr>
          <w:ilvl w:val="0"/>
          <w:numId w:val="3"/>
        </w:numPr>
        <w:spacing w:after="90"/>
      </w:pPr>
      <w:r>
        <w:rPr>
          <w:rFonts w:ascii="Calibri" w:cs="Calibri" w:eastAsia="Calibri" w:hAnsi="Calibri"/>
          <w:color w:val="5C6678"/>
          <w:sz w:val="21"/>
          <w:szCs w:val="21"/>
        </w:rPr>
        <w:t xml:space="preserve">Bulk markup for broad pricing changes; per-test overrides only for genuine exceptions.</w:t>
      </w:r>
    </w:p>
    <w:p>
      <w:pPr>
        <w:spacing w:after="100" w:before="220"/>
      </w:pPr>
      <w:r>
        <w:rPr>
          <w:rFonts w:ascii="Calibri" w:cs="Calibri" w:eastAsia="Calibri" w:hAnsi="Calibri"/>
          <w:b/>
          <w:bCs/>
          <w:color w:val="0E1F33"/>
          <w:sz w:val="22"/>
          <w:szCs w:val="22"/>
        </w:rPr>
        <w:t xml:space="preserve">Recommended Visuals</w:t>
      </w:r>
    </w:p>
    <w:p>
      <w:pPr>
        <w:pStyle w:val="ListParagraph"/>
        <w:numPr>
          <w:ilvl w:val="0"/>
          <w:numId w:val="3"/>
        </w:numPr>
        <w:spacing w:after="90"/>
      </w:pPr>
      <w:r>
        <w:rPr>
          <w:rFonts w:ascii="Calibri" w:cs="Calibri" w:eastAsia="Calibri" w:hAnsi="Calibri"/>
          <w:color w:val="5C6678"/>
          <w:sz w:val="21"/>
          <w:szCs w:val="21"/>
        </w:rPr>
        <w:t xml:space="preserve">Simple four-tile graphic for the branch types (main lab / satellite / collection centre / draw point) with a representative inventory icon size for each.</w:t>
      </w:r>
    </w:p>
    <w:p>
      <w:pPr>
        <w:pStyle w:val="ListParagraph"/>
        <w:numPr>
          <w:ilvl w:val="0"/>
          <w:numId w:val="3"/>
        </w:numPr>
        <w:spacing w:after="90"/>
      </w:pPr>
      <w:r>
        <w:rPr>
          <w:rFonts w:ascii="Calibri" w:cs="Calibri" w:eastAsia="Calibri" w:hAnsi="Calibri"/>
          <w:color w:val="5C6678"/>
          <w:sz w:val="21"/>
          <w:szCs w:val="21"/>
        </w:rPr>
        <w:t xml:space="preserve">Signature image spec card (transparent PNG, 300×100 max) shown as a clean on-screen reference.</w:t>
      </w:r>
    </w:p>
    <w:p>
      <w:pPr>
        <w:pStyle w:val="ListParagraph"/>
        <w:numPr>
          <w:ilvl w:val="0"/>
          <w:numId w:val="3"/>
        </w:numPr>
        <w:spacing w:after="90"/>
      </w:pPr>
      <w:r>
        <w:rPr>
          <w:rFonts w:ascii="Calibri" w:cs="Calibri" w:eastAsia="Calibri" w:hAnsi="Calibri"/>
          <w:color w:val="5C6678"/>
          <w:sz w:val="21"/>
          <w:szCs w:val="21"/>
        </w:rPr>
        <w:t xml:space="preserve">Before/after pricing table showing a category before and after a bulk markup, with the percentage and rounding clearly visible.</w:t>
      </w:r>
    </w:p>
    <w:p>
      <w:r>
        <w:br w:type="page"/>
      </w:r>
    </w:p>
    <w:p>
      <w:pPr>
        <w:spacing w:after="60"/>
      </w:pPr>
      <w:r>
        <w:rPr>
          <w:rFonts w:ascii="Calibri" w:cs="Calibri" w:eastAsia="Calibri" w:hAnsi="Calibri"/>
          <w:b/>
          <w:bCs/>
          <w:color w:val="A8552E"/>
          <w:spacing w:val="14"/>
          <w:sz w:val="17"/>
          <w:szCs w:val="17"/>
        </w:rPr>
        <w:t xml:space="preserve">LESSON 4.3</w:t>
      </w:r>
    </w:p>
    <w:p>
      <w:pPr>
        <w:pStyle w:val="Heading1"/>
      </w:pPr>
      <w:r>
        <w:rPr>
          <w:rFonts w:ascii="Calibri" w:cs="Calibri" w:eastAsia="Calibri" w:hAnsi="Calibri"/>
        </w:rPr>
        <w:t xml:space="preserve">Protecting the Business: Subscription, Backup, Audit, and Connectivity</w:t>
      </w:r>
    </w:p>
    <w:p>
      <w:pPr>
        <w:spacing w:after="200"/>
      </w:pPr>
      <w:r>
        <w:rPr>
          <w:rFonts w:ascii="Calibri" w:cs="Calibri" w:eastAsia="Calibri" w:hAnsi="Calibri"/>
          <w:color w:val="5C6678"/>
          <w:sz w:val="23"/>
          <w:szCs w:val="23"/>
        </w:rPr>
        <w:t xml:space="preserve">The final lesson in this module steps back from configuring how the laboratory looks and prices its services, to governing how it stays running, stays accountable, and stays connected — the administrative responsibilities that rarely feel urgent until the day they suddenly are.</w:t>
      </w:r>
    </w:p>
    <w:p>
      <w:pPr>
        <w:pStyle w:val="Heading2"/>
      </w:pPr>
      <w:r>
        <w:rPr>
          <w:rFonts w:ascii="Calibri" w:cs="Calibri" w:eastAsia="Calibri" w:hAnsi="Calibri"/>
        </w:rPr>
        <w:t xml:space="preserve">Overview</w:t>
      </w:r>
    </w:p>
    <w:p>
      <w:pPr>
        <w:spacing w:after="160"/>
      </w:pPr>
      <w:r>
        <w:rPr>
          <w:rFonts w:ascii="Calibri" w:cs="Calibri" w:eastAsia="Calibri" w:hAnsi="Calibri"/>
          <w:color w:val="5C6678"/>
          <w:sz w:val="21"/>
          <w:szCs w:val="21"/>
        </w:rPr>
        <w:t xml:space="preserve">This lesson covers subscription and plan management, the audit log, backup and disaster recovery, SMS/WhatsApp delivery configuration, operating hours and on-call scheduling, Enterprise SSO, and API access. By the end, a learner should understand not just how to configure each of these, but why each one matters disproportionately on the one day something goes wrong — a missed renewal, a data-loss event, an unauthorised access investigation, or a failed notification.</w:t>
      </w:r>
    </w:p>
    <w:p>
      <w:pPr>
        <w:pStyle w:val="Heading2"/>
      </w:pPr>
      <w:r>
        <w:rPr>
          <w:rFonts w:ascii="Calibri" w:cs="Calibri" w:eastAsia="Calibri" w:hAnsi="Calibri"/>
        </w:rPr>
        <w:t xml:space="preserve">Business Context</w:t>
      </w:r>
    </w:p>
    <w:p>
      <w:pPr>
        <w:spacing w:after="160"/>
      </w:pPr>
      <w:r>
        <w:rPr>
          <w:rFonts w:ascii="Calibri" w:cs="Calibri" w:eastAsia="Calibri" w:hAnsi="Calibri"/>
          <w:color w:val="5C6678"/>
          <w:sz w:val="21"/>
          <w:szCs w:val="21"/>
        </w:rPr>
        <w:t xml:space="preserve">Much of what this lesson covers is invisible on a normal working day — nobody thinks about backup schedules while results are flowing smoothly, and nobody reviews the audit log when nothing has gone wrong. This is precisely what makes this lesson's content disproportionately important rather than less important: subscription limits, backup recovery windows, audit log integrity, and delivery-channel fallback logic are all administrative decisions made in advance, for a moment that may never come — but if it does come, an administrator who configured these correctly in advance has a recoverable, defensible, auditable laboratory, and one who didn't has a genuine crisis.</w:t>
      </w:r>
    </w:p>
    <w:p>
      <w:pPr>
        <w:pStyle w:val="Heading2"/>
      </w:pPr>
      <w:r>
        <w:rPr>
          <w:rFonts w:ascii="Calibri" w:cs="Calibri" w:eastAsia="Calibri" w:hAnsi="Calibri"/>
        </w:rPr>
        <w:t xml:space="preserve">LabOS Functionality Covered</w:t>
      </w:r>
    </w:p>
    <w:p>
      <w:pPr>
        <w:pStyle w:val="ListParagraph"/>
        <w:numPr>
          <w:ilvl w:val="0"/>
          <w:numId w:val="3"/>
        </w:numPr>
        <w:spacing w:after="90"/>
      </w:pPr>
      <w:r>
        <w:rPr>
          <w:rFonts w:ascii="Calibri" w:cs="Calibri" w:eastAsia="Calibri" w:hAnsi="Calibri"/>
          <w:color w:val="5C6678"/>
          <w:sz w:val="21"/>
          <w:szCs w:val="21"/>
        </w:rPr>
        <w:t xml:space="preserve">Subscription management: annual billing, usage meters with yellow (75%) and red (90%) thresholds, prorated immediate upgrades versus renewal-cycle downgrades, and 90-day data retention after cancellation.</w:t>
      </w:r>
    </w:p>
    <w:p>
      <w:pPr>
        <w:pStyle w:val="ListParagraph"/>
        <w:numPr>
          <w:ilvl w:val="0"/>
          <w:numId w:val="3"/>
        </w:numPr>
        <w:spacing w:after="90"/>
      </w:pPr>
      <w:r>
        <w:rPr>
          <w:rFonts w:ascii="Calibri" w:cs="Calibri" w:eastAsia="Calibri" w:hAnsi="Calibri"/>
          <w:color w:val="5C6678"/>
          <w:sz w:val="21"/>
          <w:szCs w:val="21"/>
        </w:rPr>
        <w:t xml:space="preserve">The audit log: what's captured (who, what, when, IP/device, before/after values, including read-only access), hash-chaining for tamper-evidence, and 7-year NDPR retention.</w:t>
      </w:r>
    </w:p>
    <w:p>
      <w:pPr>
        <w:pStyle w:val="ListParagraph"/>
        <w:numPr>
          <w:ilvl w:val="0"/>
          <w:numId w:val="3"/>
        </w:numPr>
        <w:spacing w:after="90"/>
      </w:pPr>
      <w:r>
        <w:rPr>
          <w:rFonts w:ascii="Calibri" w:cs="Calibri" w:eastAsia="Calibri" w:hAnsi="Calibri"/>
          <w:color w:val="5C6678"/>
          <w:sz w:val="21"/>
          <w:szCs w:val="21"/>
        </w:rPr>
        <w:t xml:space="preserve">Backup and disaster recovery: nightly encrypted snapshots across two regions (Lagos primary, Frankfurt secondary), 30-day point-in-time recovery, and the tenant's own right to a full data export.</w:t>
      </w:r>
    </w:p>
    <w:p>
      <w:pPr>
        <w:pStyle w:val="ListParagraph"/>
        <w:numPr>
          <w:ilvl w:val="0"/>
          <w:numId w:val="3"/>
        </w:numPr>
        <w:spacing w:after="90"/>
      </w:pPr>
      <w:r>
        <w:rPr>
          <w:rFonts w:ascii="Calibri" w:cs="Calibri" w:eastAsia="Calibri" w:hAnsi="Calibri"/>
          <w:color w:val="5C6678"/>
          <w:sz w:val="21"/>
          <w:szCs w:val="21"/>
        </w:rPr>
        <w:t xml:space="preserve">SMS and WhatsApp delivery configuration via Termii and WhatsApp Business, and the WhatsApp → SMS → Email fallback order.</w:t>
      </w:r>
    </w:p>
    <w:p>
      <w:pPr>
        <w:pStyle w:val="ListParagraph"/>
        <w:numPr>
          <w:ilvl w:val="0"/>
          <w:numId w:val="3"/>
        </w:numPr>
        <w:spacing w:after="90"/>
      </w:pPr>
      <w:r>
        <w:rPr>
          <w:rFonts w:ascii="Calibri" w:cs="Calibri" w:eastAsia="Calibri" w:hAnsi="Calibri"/>
          <w:color w:val="5C6678"/>
          <w:sz w:val="21"/>
          <w:szCs w:val="21"/>
        </w:rPr>
        <w:t xml:space="preserve">Operating hours, holiday calendars, and on-call scheduling for pathologists and medical laboratory scientists.</w:t>
      </w:r>
    </w:p>
    <w:p>
      <w:pPr>
        <w:pStyle w:val="ListParagraph"/>
        <w:numPr>
          <w:ilvl w:val="0"/>
          <w:numId w:val="3"/>
        </w:numPr>
        <w:spacing w:after="90"/>
      </w:pPr>
      <w:r>
        <w:rPr>
          <w:rFonts w:ascii="Calibri" w:cs="Calibri" w:eastAsia="Calibri" w:hAnsi="Calibri"/>
          <w:color w:val="5C6678"/>
          <w:sz w:val="21"/>
          <w:szCs w:val="21"/>
        </w:rPr>
        <w:t xml:space="preserve">Enterprise SSO: supported identity providers, SCIM provisioning, and the setup process.</w:t>
      </w:r>
    </w:p>
    <w:p>
      <w:pPr>
        <w:pStyle w:val="ListParagraph"/>
        <w:numPr>
          <w:ilvl w:val="0"/>
          <w:numId w:val="3"/>
        </w:numPr>
        <w:spacing w:after="90"/>
      </w:pPr>
      <w:r>
        <w:rPr>
          <w:rFonts w:ascii="Calibri" w:cs="Calibri" w:eastAsia="Calibri" w:hAnsi="Calibri"/>
          <w:color w:val="5C6678"/>
          <w:sz w:val="21"/>
          <w:szCs w:val="21"/>
        </w:rPr>
        <w:t xml:space="preserve">API access: key generation and scopes, rate limits by plan tier, and OpenAPI documentation.</w:t>
      </w:r>
    </w:p>
    <w:p>
      <w:pPr>
        <w:pStyle w:val="Heading2"/>
      </w:pPr>
      <w:r>
        <w:rPr>
          <w:rFonts w:ascii="Calibri" w:cs="Calibri" w:eastAsia="Calibri" w:hAnsi="Calibri"/>
        </w:rPr>
        <w:t xml:space="preserve">Step-by-Step Explanation</w:t>
      </w:r>
    </w:p>
    <w:p>
      <w:pPr>
        <w:spacing w:after="100" w:before="220"/>
      </w:pPr>
      <w:r>
        <w:rPr>
          <w:rFonts w:ascii="Calibri" w:cs="Calibri" w:eastAsia="Calibri" w:hAnsi="Calibri"/>
          <w:b/>
          <w:bCs/>
          <w:color w:val="0E1F33"/>
          <w:sz w:val="20"/>
          <w:szCs w:val="20"/>
        </w:rPr>
        <w:t xml:space="preserve">Managing subscription proactively, not reactively</w:t>
      </w:r>
    </w:p>
    <w:p>
      <w:pPr>
        <w:spacing w:after="160"/>
      </w:pPr>
      <w:r>
        <w:rPr>
          <w:rFonts w:ascii="Calibri" w:cs="Calibri" w:eastAsia="Calibri" w:hAnsi="Calibri"/>
          <w:color w:val="5C6678"/>
          <w:sz w:val="21"/>
          <w:szCs w:val="21"/>
        </w:rPr>
        <w:t xml:space="preserve">LabOS bills annually, and Subscription &amp; Billing surfaces your current plan, renewal date, and usage meters for centres, staff, patients-per-month, and storage — turning yellow at 75% of any limit and red at 90%, giving genuine advance warning rather than a sudden hard stop. Upgrades take effect immediately, with the price difference prorated against your remaining period and charged via Paystack; downgrades, by contrast, only take effect at your next annual renewal, so you retain full features for a period you've already paid for rather than losing capability you paid for in advance. Cancelling auto-renewal lets your laboratory continue functioning until your paid period genuinely ends, after which your data is retained for 90 days — your window to return — before permanent deletion in line with NDPR.</w:t>
      </w:r>
    </w:p>
    <w:p>
      <w:pPr>
        <w:spacing w:after="100" w:before="220"/>
      </w:pPr>
      <w:r>
        <w:rPr>
          <w:rFonts w:ascii="Calibri" w:cs="Calibri" w:eastAsia="Calibri" w:hAnsi="Calibri"/>
          <w:b/>
          <w:bCs/>
          <w:color w:val="0E1F33"/>
          <w:sz w:val="20"/>
          <w:szCs w:val="20"/>
        </w:rPr>
        <w:t xml:space="preserve">Trusting the audit log because it cannot be defeated quietly</w:t>
      </w:r>
    </w:p>
    <w:p>
      <w:pPr>
        <w:spacing w:after="160"/>
      </w:pPr>
      <w:r>
        <w:rPr>
          <w:rFonts w:ascii="Calibri" w:cs="Calibri" w:eastAsia="Calibri" w:hAnsi="Calibri"/>
          <w:color w:val="5C6678"/>
          <w:sz w:val="21"/>
          <w:szCs w:val="21"/>
        </w:rPr>
        <w:t xml:space="preserve">Every action that changes data or accesses sensitive information is logged — who, what, when, the originating IP and device, and the before/after values — and critically, even read-only access to patient records is logged, not just edits. Each entry is hash-chained, meaning every new entry incorporates a hash of the entry before it; if anyone alters or deletes a past entry, the chain breaks visibly and the log itself displays a tampering warning. This is true even for tenant administrators — no one, regardless of role, can edit the audit log, which is precisely what makes it trustworthy as a record during any later investigation. Logs are retained for seven years under NDPR, with older entries available for archival to cold storage on request.</w:t>
      </w:r>
    </w:p>
    <w:p>
      <w:pPr>
        <w:spacing w:after="100" w:before="220"/>
      </w:pPr>
      <w:r>
        <w:rPr>
          <w:rFonts w:ascii="Calibri" w:cs="Calibri" w:eastAsia="Calibri" w:hAnsi="Calibri"/>
          <w:b/>
          <w:bCs/>
          <w:color w:val="0E1F33"/>
          <w:sz w:val="20"/>
          <w:szCs w:val="20"/>
        </w:rPr>
        <w:t xml:space="preserve">Understanding what recovery actually means</w:t>
      </w:r>
    </w:p>
    <w:p>
      <w:pPr>
        <w:spacing w:after="160"/>
      </w:pPr>
      <w:r>
        <w:rPr>
          <w:rFonts w:ascii="Calibri" w:cs="Calibri" w:eastAsia="Calibri" w:hAnsi="Calibri"/>
          <w:color w:val="5C6678"/>
          <w:sz w:val="21"/>
          <w:szCs w:val="21"/>
        </w:rPr>
        <w:t xml:space="preserve">Full database snapshots are taken nightly at 03:00 WAT and stored encrypted across two separate regions — Lagos as primary, Frankfurt as secondary — while patient documents like uploaded forms and scans are replicated continuously rather than only nightly. For the last 30 days, AgoroX can restore a tenant to any 5-minute interval, which matters for exactly the scenarios that feel unthinkable until they happen: an accidental bulk delete, a ransomware event, or a botched data import. Recovery itself is not self-service — it goes through customer success and explicitly requires tenant-admin authorisation, a deliberate safeguard against a recovery request being used to undo legitimate audit-logged actions. Separately, and importantly, an administrator should not treat AgoroX's backup as the only copy worth having: periodically exporting your own data via Settings → Data &amp; Privacy → Full export is both good practice and an explicit NDPR right.</w:t>
      </w:r>
    </w:p>
    <w:p>
      <w:pPr>
        <w:spacing w:after="100" w:before="220"/>
      </w:pPr>
      <w:r>
        <w:rPr>
          <w:rFonts w:ascii="Calibri" w:cs="Calibri" w:eastAsia="Calibri" w:hAnsi="Calibri"/>
          <w:b/>
          <w:bCs/>
          <w:color w:val="0E1F33"/>
          <w:sz w:val="20"/>
          <w:szCs w:val="20"/>
        </w:rPr>
        <w:t xml:space="preserve">Configuring reliable patient communication</w:t>
      </w:r>
    </w:p>
    <w:p>
      <w:pPr>
        <w:spacing w:after="160"/>
      </w:pPr>
      <w:r>
        <w:rPr>
          <w:rFonts w:ascii="Calibri" w:cs="Calibri" w:eastAsia="Calibri" w:hAnsi="Calibri"/>
          <w:color w:val="5C6678"/>
          <w:sz w:val="21"/>
          <w:szCs w:val="21"/>
        </w:rPr>
        <w:t xml:space="preserve">LabOS uses Termii for transactional SMS to Nigerian numbers, configured from Settings → Integrations → Termii with a pre-approved sender ID and either pay-as-you-go or a pre-purchased bundle. WhatsApp Business is the preferred channel for report delivery specifically because patients open WhatsApp roughly seven times more reliably than email — connected via Meta or a Business Solution Provider, using pre-approved message templates so delivery doesn't depend on the patient messaging first. The default delivery order is WhatsApp, then SMS, then Email: if WhatsApp delivery fails — the number isn't on WhatsApp, or the message is blocked — LabOS automatically retries via SMS, and patients can express a preferred channel directly at registration, tying this back to Module 2's registration-field discussion.</w:t>
      </w:r>
    </w:p>
    <w:p>
      <w:pPr>
        <w:spacing w:after="100" w:before="220"/>
      </w:pPr>
      <w:r>
        <w:rPr>
          <w:rFonts w:ascii="Calibri" w:cs="Calibri" w:eastAsia="Calibri" w:hAnsi="Calibri"/>
          <w:b/>
          <w:bCs/>
          <w:color w:val="0E1F33"/>
          <w:sz w:val="20"/>
          <w:szCs w:val="20"/>
        </w:rPr>
        <w:t xml:space="preserve">Scheduling hours and on-call coverage that the system actually uses</w:t>
      </w:r>
    </w:p>
    <w:p>
      <w:pPr>
        <w:spacing w:after="160"/>
      </w:pPr>
      <w:r>
        <w:rPr>
          <w:rFonts w:ascii="Calibri" w:cs="Calibri" w:eastAsia="Calibri" w:hAnsi="Calibri"/>
          <w:color w:val="5C6678"/>
          <w:sz w:val="21"/>
          <w:szCs w:val="21"/>
        </w:rPr>
        <w:t xml:space="preserve">Operating hours are set per centre, per day, and an off-hours request is still accepted but doesn't begin processing until the next working window opens. Nigerian public holidays are pre-loaded annually, and an administrator can add lab-specific closures — staff training days, public health emergencies — with turnaround-time calculations automatically excluding all holidays. For nights and weekends specifically, designating one on-call pathologist and one on-call medical laboratory scientist per day isn't just a scheduling courtesy: the critical-result protocol from Module 1 and STAT requests from Module 3 both page the on-call team automatically, meaning an incorrectly configured or empty on-call schedule means those automatic pages have nowhere reliable to go.</w:t>
      </w:r>
    </w:p>
    <w:p>
      <w:pPr>
        <w:spacing w:after="100" w:before="220"/>
      </w:pPr>
      <w:r>
        <w:rPr>
          <w:rFonts w:ascii="Calibri" w:cs="Calibri" w:eastAsia="Calibri" w:hAnsi="Calibri"/>
          <w:b/>
          <w:bCs/>
          <w:color w:val="0E1F33"/>
          <w:sz w:val="20"/>
          <w:szCs w:val="20"/>
        </w:rPr>
        <w:t xml:space="preserve">Enterprise connectivity: SSO and API access</w:t>
      </w:r>
    </w:p>
    <w:p>
      <w:pPr>
        <w:spacing w:after="160"/>
      </w:pPr>
      <w:r>
        <w:rPr>
          <w:rFonts w:ascii="Calibri" w:cs="Calibri" w:eastAsia="Calibri" w:hAnsi="Calibri"/>
          <w:color w:val="5C6678"/>
          <w:sz w:val="21"/>
          <w:szCs w:val="21"/>
        </w:rPr>
        <w:t xml:space="preserve">LabOS Enterprise supports SAML 2.0 single sign-on with Microsoft Azure AD/Entra ID, Google Workspace, Okta, OneLogin, and Auth0, with SCIM provisioning available on Azure AD and Okta specifically for automatic user lifecycle management — meaning staff additions and departures in the organisation's own identity system can automatically propagate into LabOS access. Setup is arranged through a customer success manager rather than self-service, typically taking one to two working days for metadata exchange, attribute mapping, test sign-in, and cutover; two-factor authentication can either remain inside LabOS or be delegated to the organisation's identity provider. Separately, API access — available on Professional and Enterprise plans — is generated from Settings → API Keys with chosen scopes (read-only or read-write) and optional IP-range restriction; keys are shown exactly once and never again, meaning secure storage at the moment of generation isn't optional. Rate limits scale by plan: 60 requests per minute and 10,000 per day on Professional, versus 600 per minute and 1,000,000 per day on Enterprise, with full OpenAPI 3.1 documentation and client libraries available for integration work.</w:t>
      </w:r>
    </w:p>
    <w:p>
      <w:pPr>
        <w:pStyle w:val="Heading2"/>
      </w:pPr>
      <w:r>
        <w:rPr>
          <w:rFonts w:ascii="Calibri" w:cs="Calibri" w:eastAsia="Calibri" w:hAnsi="Calibri"/>
        </w:rPr>
        <w:t xml:space="preserve">Best Practices</w:t>
      </w:r>
    </w:p>
    <w:p>
      <w:pPr>
        <w:pStyle w:val="ListParagraph"/>
        <w:numPr>
          <w:ilvl w:val="0"/>
          <w:numId w:val="3"/>
        </w:numPr>
        <w:spacing w:after="90"/>
      </w:pPr>
      <w:r>
        <w:rPr>
          <w:rFonts w:ascii="Calibri" w:cs="Calibri" w:eastAsia="Calibri" w:hAnsi="Calibri"/>
          <w:color w:val="5C6678"/>
          <w:sz w:val="21"/>
          <w:szCs w:val="21"/>
        </w:rPr>
        <w:t xml:space="preserve">Treat a yellow (75%) usage-meter warning as the time to plan a plan change, not the red (90%) warning as the time to react.</w:t>
      </w:r>
    </w:p>
    <w:p>
      <w:pPr>
        <w:pStyle w:val="ListParagraph"/>
        <w:numPr>
          <w:ilvl w:val="0"/>
          <w:numId w:val="3"/>
        </w:numPr>
        <w:spacing w:after="90"/>
      </w:pPr>
      <w:r>
        <w:rPr>
          <w:rFonts w:ascii="Calibri" w:cs="Calibri" w:eastAsia="Calibri" w:hAnsi="Calibri"/>
          <w:color w:val="5C6678"/>
          <w:sz w:val="21"/>
          <w:szCs w:val="21"/>
        </w:rPr>
        <w:t xml:space="preserve">Periodically export your own data via Settings → Data &amp; Privacy, independent of AgoroX's backup, as both good practice and an exercised NDPR right.</w:t>
      </w:r>
    </w:p>
    <w:p>
      <w:pPr>
        <w:pStyle w:val="ListParagraph"/>
        <w:numPr>
          <w:ilvl w:val="0"/>
          <w:numId w:val="3"/>
        </w:numPr>
        <w:spacing w:after="90"/>
      </w:pPr>
      <w:r>
        <w:rPr>
          <w:rFonts w:ascii="Calibri" w:cs="Calibri" w:eastAsia="Calibri" w:hAnsi="Calibri"/>
          <w:color w:val="5C6678"/>
          <w:sz w:val="21"/>
          <w:szCs w:val="21"/>
        </w:rPr>
        <w:t xml:space="preserve">Ensure the on-call schedule is never left empty for any night or weekend — confirm it proactively rather than discovering a gap during an actual critical-result event.</w:t>
      </w:r>
    </w:p>
    <w:p>
      <w:pPr>
        <w:pStyle w:val="ListParagraph"/>
        <w:numPr>
          <w:ilvl w:val="0"/>
          <w:numId w:val="3"/>
        </w:numPr>
        <w:spacing w:after="90"/>
      </w:pPr>
      <w:r>
        <w:rPr>
          <w:rFonts w:ascii="Calibri" w:cs="Calibri" w:eastAsia="Calibri" w:hAnsi="Calibri"/>
          <w:color w:val="5C6678"/>
          <w:sz w:val="21"/>
          <w:szCs w:val="21"/>
        </w:rPr>
        <w:t xml:space="preserve">Generate and securely store API keys the moment they're created, since LabOS will never display a key a second time.</w:t>
      </w:r>
    </w:p>
    <w:p>
      <w:pPr>
        <w:pStyle w:val="Heading2"/>
      </w:pPr>
      <w:r>
        <w:rPr>
          <w:rFonts w:ascii="Calibri" w:cs="Calibri" w:eastAsia="Calibri" w:hAnsi="Calibri"/>
        </w:rPr>
        <w:t xml:space="preserve">Common Errors</w:t>
      </w:r>
    </w:p>
    <w:p>
      <w:pPr>
        <w:pStyle w:val="ListParagraph"/>
        <w:numPr>
          <w:ilvl w:val="0"/>
          <w:numId w:val="3"/>
        </w:numPr>
        <w:spacing w:after="90"/>
      </w:pPr>
      <w:r>
        <w:rPr>
          <w:rFonts w:ascii="Calibri" w:cs="Calibri" w:eastAsia="Calibri" w:hAnsi="Calibri"/>
          <w:color w:val="5C6678"/>
          <w:sz w:val="21"/>
          <w:szCs w:val="21"/>
        </w:rPr>
        <w:t xml:space="preserve">Ignoring usage-meter warnings until the red 90% threshold forces a reactive, time-pressured plan change.</w:t>
      </w:r>
    </w:p>
    <w:p>
      <w:pPr>
        <w:pStyle w:val="ListParagraph"/>
        <w:numPr>
          <w:ilvl w:val="0"/>
          <w:numId w:val="3"/>
        </w:numPr>
        <w:spacing w:after="90"/>
      </w:pPr>
      <w:r>
        <w:rPr>
          <w:rFonts w:ascii="Calibri" w:cs="Calibri" w:eastAsia="Calibri" w:hAnsi="Calibri"/>
          <w:color w:val="5C6678"/>
          <w:sz w:val="21"/>
          <w:szCs w:val="21"/>
        </w:rPr>
        <w:t xml:space="preserve">Relying solely on AgoroX's backup without ever exercising the tenant's own data-export right.</w:t>
      </w:r>
    </w:p>
    <w:p>
      <w:pPr>
        <w:pStyle w:val="ListParagraph"/>
        <w:numPr>
          <w:ilvl w:val="0"/>
          <w:numId w:val="3"/>
        </w:numPr>
        <w:spacing w:after="90"/>
      </w:pPr>
      <w:r>
        <w:rPr>
          <w:rFonts w:ascii="Calibri" w:cs="Calibri" w:eastAsia="Calibri" w:hAnsi="Calibri"/>
          <w:color w:val="5C6678"/>
          <w:sz w:val="21"/>
          <w:szCs w:val="21"/>
        </w:rPr>
        <w:t xml:space="preserve">Leaving the on-call schedule unconfigured or out of date, undermining the automatic paging that the critical-result protocol depends on.</w:t>
      </w:r>
    </w:p>
    <w:p>
      <w:pPr>
        <w:pStyle w:val="ListParagraph"/>
        <w:numPr>
          <w:ilvl w:val="0"/>
          <w:numId w:val="3"/>
        </w:numPr>
        <w:spacing w:after="90"/>
      </w:pPr>
      <w:r>
        <w:rPr>
          <w:rFonts w:ascii="Calibri" w:cs="Calibri" w:eastAsia="Calibri" w:hAnsi="Calibri"/>
          <w:color w:val="5C6678"/>
          <w:sz w:val="21"/>
          <w:szCs w:val="21"/>
        </w:rPr>
        <w:t xml:space="preserve">Losing a generated API key and assuming it can be retrieved again, rather than understanding a new key must be generated and the old one revoked.</w:t>
      </w:r>
    </w:p>
    <w:p>
      <w:pPr>
        <w:pStyle w:val="Heading2"/>
      </w:pPr>
      <w:r>
        <w:rPr>
          <w:rFonts w:ascii="Calibri" w:cs="Calibri" w:eastAsia="Calibri" w:hAnsi="Calibri"/>
        </w:rPr>
        <w:t xml:space="preserve">Practical Exercise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C46A3E" w:sz="18"/>
              <w:bottom w:val="single" w:color="D8DCE2" w:sz="4"/>
              <w:right w:val="single" w:color="D8DCE2" w:sz="4"/>
            </w:tcBorders>
            <w:shd w:fill="E8F3FE" w:val="clear"/>
            <w:tcMar>
              <w:top w:type="dxa" w:w="180"/>
              <w:left w:type="dxa" w:w="220"/>
              <w:bottom w:type="dxa" w:w="180"/>
              <w:right w:type="dxa" w:w="220"/>
            </w:tcMar>
          </w:tcPr>
          <w:p>
            <w:pPr>
              <w:spacing w:after="90"/>
            </w:pPr>
            <w:r>
              <w:rPr>
                <w:rFonts w:ascii="Calibri" w:cs="Calibri" w:eastAsia="Calibri" w:hAnsi="Calibri"/>
                <w:b/>
                <w:bCs/>
                <w:color w:val="A8552E"/>
                <w:spacing w:val="8"/>
                <w:sz w:val="19"/>
                <w:szCs w:val="19"/>
              </w:rPr>
              <w:t xml:space="preserve">EXERCISE 4.3 — GOVERN THE TENANT</w:t>
            </w:r>
          </w:p>
          <w:p>
            <w:r>
              <w:rPr>
                <w:rFonts w:ascii="Calibri" w:cs="Calibri" w:eastAsia="Calibri" w:hAnsi="Calibri"/>
                <w:i/>
                <w:iCs/>
                <w:color w:val="0E1F33"/>
                <w:sz w:val="21"/>
                <w:szCs w:val="21"/>
              </w:rPr>
              <w:t xml:space="preserve">In a sandbox LabOS environment, review your current usage meters and write one sentence on what action you would take if any meter reached the yellow (75%) threshold. Configure on-call pathologist and medical laboratory scientist assignments for the upcoming weekend. Open the audit log and locate at least one entry showing a read-only access event (not just an edit), and explain in one sentence why read-only access is logged at all. Finally, if your sandbox supports it, generate an API key, note its scope and rate limit based on your plan tier, and write down where and how you would store it securely.</w:t>
            </w:r>
          </w:p>
        </w:tc>
      </w:tr>
    </w:tbl>
    <w:p>
      <w:pPr>
        <w:pStyle w:val="Heading2"/>
      </w:pPr>
      <w:r>
        <w:rPr>
          <w:rFonts w:ascii="Calibri" w:cs="Calibri" w:eastAsia="Calibri" w:hAnsi="Calibri"/>
        </w:rPr>
        <w:t xml:space="preserve">Knowledge Check</w:t>
      </w:r>
    </w:p>
    <w:p>
      <w:pPr>
        <w:spacing w:after="50" w:before="140"/>
      </w:pPr>
      <w:r>
        <w:rPr>
          <w:rFonts w:ascii="Calibri" w:cs="Calibri" w:eastAsia="Calibri" w:hAnsi="Calibri"/>
          <w:b/>
          <w:bCs/>
          <w:color w:val="0E1F33"/>
          <w:sz w:val="21"/>
          <w:szCs w:val="21"/>
        </w:rPr>
        <w:t xml:space="preserve">1. Why does a subscription downgrade only take effect at the next annual renewal, while an upgrade takes effect immediately?</w:t>
      </w:r>
    </w:p>
    <w:p>
      <w:pPr>
        <w:spacing w:after="60"/>
      </w:pPr>
      <w:r>
        <w:rPr>
          <w:rFonts w:ascii="Calibri" w:cs="Calibri" w:eastAsia="Calibri" w:hAnsi="Calibri"/>
          <w:color w:val="5C6678"/>
          <w:sz w:val="20"/>
          <w:szCs w:val="20"/>
        </w:rPr>
        <w:t xml:space="preserve">Because a downgrade taking effect immediately would remove features and capacity the tenant has already paid for in their current period, whereas an upgrade taking effect immediately (with a prorated charge) gives the tenant the additional capability they're now paying for right away — the asymmetry protects the customer in both directions.</w:t>
      </w:r>
    </w:p>
    <w:p>
      <w:pPr>
        <w:spacing w:after="50" w:before="140"/>
      </w:pPr>
      <w:r>
        <w:rPr>
          <w:rFonts w:ascii="Calibri" w:cs="Calibri" w:eastAsia="Calibri" w:hAnsi="Calibri"/>
          <w:b/>
          <w:bCs/>
          <w:color w:val="0E1F33"/>
          <w:sz w:val="21"/>
          <w:szCs w:val="21"/>
        </w:rPr>
        <w:t xml:space="preserve">2. Why does LabOS log read-only access to patient records, not just edits?</w:t>
      </w:r>
    </w:p>
    <w:p>
      <w:pPr>
        <w:spacing w:after="60"/>
      </w:pPr>
      <w:r>
        <w:rPr>
          <w:rFonts w:ascii="Calibri" w:cs="Calibri" w:eastAsia="Calibri" w:hAnsi="Calibri"/>
          <w:color w:val="5C6678"/>
          <w:sz w:val="20"/>
          <w:szCs w:val="20"/>
        </w:rPr>
        <w:t xml:space="preserve">Because viewing sensitive data without authorisation is itself a potential privacy violation, independent of whether anything was changed — logging only edits would leave inappropriate browsing of patient records completely invisible to any later audit or investigation.</w:t>
      </w:r>
    </w:p>
    <w:p>
      <w:pPr>
        <w:spacing w:after="50" w:before="140"/>
      </w:pPr>
      <w:r>
        <w:rPr>
          <w:rFonts w:ascii="Calibri" w:cs="Calibri" w:eastAsia="Calibri" w:hAnsi="Calibri"/>
          <w:b/>
          <w:bCs/>
          <w:color w:val="0E1F33"/>
          <w:sz w:val="21"/>
          <w:szCs w:val="21"/>
        </w:rPr>
        <w:t xml:space="preserve">3. A laboratory's on-call schedule is accidentally left empty for a weekend. What specifically fails as a result?</w:t>
      </w:r>
    </w:p>
    <w:p>
      <w:pPr>
        <w:spacing w:after="60"/>
      </w:pPr>
      <w:r>
        <w:rPr>
          <w:rFonts w:ascii="Calibri" w:cs="Calibri" w:eastAsia="Calibri" w:hAnsi="Calibri"/>
          <w:color w:val="5C6678"/>
          <w:sz w:val="20"/>
          <w:szCs w:val="20"/>
        </w:rPr>
        <w:t xml:space="preserve">The automatic paging built into the critical-result protocol (from Module 1) and STAT request handling (from Module 3) has no on-call pathologist or scientist to actually notify — meaning a genuine critical event during that weekend may not be escalated to anyone in a timely way, even though the underlying detection and flagging logic is still working correctly.</w:t>
      </w:r>
    </w:p>
    <w:p>
      <w:pPr>
        <w:pBdr>
          <w:top w:val="single" w:color="0E1F33" w:sz="14" w:space="10"/>
        </w:pBdr>
        <w:spacing w:after="200" w:before="360"/>
      </w:pPr>
      <w:r>
        <w:rPr>
          <w:rFonts w:ascii="Calibri" w:cs="Calibri" w:eastAsia="Calibri" w:hAnsi="Calibri"/>
          <w:b/>
          <w:bCs/>
          <w:color w:val="0E1F33"/>
          <w:spacing w:val="10"/>
          <w:sz w:val="19"/>
          <w:szCs w:val="19"/>
        </w:rPr>
        <w:t xml:space="preserve">VIDEO SCRIPT — LESSON 4.3</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TITLE</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"Protecting the Business: Subscription, Backup, Audit, and Connectivity" — CLA Module 4, Lesson 3</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OBJECTIVE</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Learner can manage subscription proactively, trust and use the audit log correctly, understand backup/recovery, and configure delivery channels and on-call coverage.</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RECOMMENDED DURATION</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11–13 minutes (longest video in this module, closing out the administrative foundation before Module 5)</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FORMAT</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Screen recording with presenter voiceover; segmented clearly into subscription / audit &amp; backup / communications / connectivity</w:t>
            </w:r>
          </w:p>
        </w:tc>
      </w:tr>
    </w:tbl>
    <w:p>
      <w:pPr>
        <w:spacing w:after="180"/>
      </w:pPr>
    </w:p>
    <w:p>
      <w:pPr>
        <w:spacing w:after="100" w:before="220"/>
      </w:pPr>
      <w:r>
        <w:rPr>
          <w:rFonts w:ascii="Calibri" w:cs="Calibri" w:eastAsia="Calibri" w:hAnsi="Calibri"/>
          <w:b/>
          <w:bCs/>
          <w:color w:val="0E1F33"/>
          <w:sz w:val="22"/>
          <w:szCs w:val="22"/>
        </w:rPr>
        <w:t xml:space="preserve">Detailed Video Outline</w:t>
      </w:r>
    </w:p>
    <w:p>
      <w:pPr>
        <w:pStyle w:val="ListParagraph"/>
        <w:numPr>
          <w:ilvl w:val="0"/>
          <w:numId w:val="8"/>
        </w:numPr>
        <w:spacing w:after="90"/>
      </w:pPr>
      <w:r>
        <w:rPr>
          <w:rFonts w:ascii="Calibri" w:cs="Calibri" w:eastAsia="Calibri" w:hAnsi="Calibri"/>
          <w:color w:val="5C6678"/>
          <w:sz w:val="21"/>
          <w:szCs w:val="21"/>
        </w:rPr>
        <w:t xml:space="preserve">Cold open (0:00–0:40) — "Most of what's in this video is invisible on a good day. That's exactly why it matters."</w:t>
      </w:r>
    </w:p>
    <w:p>
      <w:pPr>
        <w:pStyle w:val="ListParagraph"/>
        <w:numPr>
          <w:ilvl w:val="0"/>
          <w:numId w:val="8"/>
        </w:numPr>
        <w:spacing w:after="90"/>
      </w:pPr>
      <w:r>
        <w:rPr>
          <w:rFonts w:ascii="Calibri" w:cs="Calibri" w:eastAsia="Calibri" w:hAnsi="Calibri"/>
          <w:color w:val="5C6678"/>
          <w:sz w:val="21"/>
          <w:szCs w:val="21"/>
        </w:rPr>
        <w:t xml:space="preserve">Subscription &amp; usage meters, live demo with the yellow/red threshold explanation (0:40–2:30).</w:t>
      </w:r>
    </w:p>
    <w:p>
      <w:pPr>
        <w:pStyle w:val="ListParagraph"/>
        <w:numPr>
          <w:ilvl w:val="0"/>
          <w:numId w:val="8"/>
        </w:numPr>
        <w:spacing w:after="90"/>
      </w:pPr>
      <w:r>
        <w:rPr>
          <w:rFonts w:ascii="Calibri" w:cs="Calibri" w:eastAsia="Calibri" w:hAnsi="Calibri"/>
          <w:color w:val="5C6678"/>
          <w:sz w:val="21"/>
          <w:szCs w:val="21"/>
        </w:rPr>
        <w:t xml:space="preserve">Audit log walkthrough, including a read-only access entry and the hash-chain concept (2:30–4:30).</w:t>
      </w:r>
    </w:p>
    <w:p>
      <w:pPr>
        <w:pStyle w:val="ListParagraph"/>
        <w:numPr>
          <w:ilvl w:val="0"/>
          <w:numId w:val="8"/>
        </w:numPr>
        <w:spacing w:after="90"/>
      </w:pPr>
      <w:r>
        <w:rPr>
          <w:rFonts w:ascii="Calibri" w:cs="Calibri" w:eastAsia="Calibri" w:hAnsi="Calibri"/>
          <w:color w:val="5C6678"/>
          <w:sz w:val="21"/>
          <w:szCs w:val="21"/>
        </w:rPr>
        <w:t xml:space="preserve">Backup and recovery explained, with the two-region and point-in-time detail (4:30–6:00).</w:t>
      </w:r>
    </w:p>
    <w:p>
      <w:pPr>
        <w:pStyle w:val="ListParagraph"/>
        <w:numPr>
          <w:ilvl w:val="0"/>
          <w:numId w:val="8"/>
        </w:numPr>
        <w:spacing w:after="90"/>
      </w:pPr>
      <w:r>
        <w:rPr>
          <w:rFonts w:ascii="Calibri" w:cs="Calibri" w:eastAsia="Calibri" w:hAnsi="Calibri"/>
          <w:color w:val="5C6678"/>
          <w:sz w:val="21"/>
          <w:szCs w:val="21"/>
        </w:rPr>
        <w:t xml:space="preserve">WhatsApp/SMS/Email delivery configuration and fallback order (6:00–7:30).</w:t>
      </w:r>
    </w:p>
    <w:p>
      <w:pPr>
        <w:pStyle w:val="ListParagraph"/>
        <w:numPr>
          <w:ilvl w:val="0"/>
          <w:numId w:val="8"/>
        </w:numPr>
        <w:spacing w:after="90"/>
      </w:pPr>
      <w:r>
        <w:rPr>
          <w:rFonts w:ascii="Calibri" w:cs="Calibri" w:eastAsia="Calibri" w:hAnsi="Calibri"/>
          <w:color w:val="5C6678"/>
          <w:sz w:val="21"/>
          <w:szCs w:val="21"/>
        </w:rPr>
        <w:t xml:space="preserve">Operating hours, holidays, and on-call scheduling, live demo (7:30–9:30).</w:t>
      </w:r>
    </w:p>
    <w:p>
      <w:pPr>
        <w:pStyle w:val="ListParagraph"/>
        <w:numPr>
          <w:ilvl w:val="0"/>
          <w:numId w:val="8"/>
        </w:numPr>
        <w:spacing w:after="90"/>
      </w:pPr>
      <w:r>
        <w:rPr>
          <w:rFonts w:ascii="Calibri" w:cs="Calibri" w:eastAsia="Calibri" w:hAnsi="Calibri"/>
          <w:color w:val="5C6678"/>
          <w:sz w:val="21"/>
          <w:szCs w:val="21"/>
        </w:rPr>
        <w:t xml:space="preserve">SSO and API access, brief overview for Enterprise/Professional features (9:30–11:00).</w:t>
      </w:r>
    </w:p>
    <w:p>
      <w:pPr>
        <w:pStyle w:val="ListParagraph"/>
        <w:numPr>
          <w:ilvl w:val="0"/>
          <w:numId w:val="8"/>
        </w:numPr>
        <w:spacing w:after="90"/>
      </w:pPr>
      <w:r>
        <w:rPr>
          <w:rFonts w:ascii="Calibri" w:cs="Calibri" w:eastAsia="Calibri" w:hAnsi="Calibri"/>
          <w:color w:val="5C6678"/>
          <w:sz w:val="21"/>
          <w:szCs w:val="21"/>
        </w:rPr>
        <w:t xml:space="preserve">Close + Module 4 wrap-up, transition to Module 5 (11:00–end).</w:t>
      </w:r>
    </w:p>
    <w:p>
      <w:pPr>
        <w:spacing w:after="100" w:before="220"/>
      </w:pPr>
      <w:r>
        <w:rPr>
          <w:rFonts w:ascii="Calibri" w:cs="Calibri" w:eastAsia="Calibri" w:hAnsi="Calibri"/>
          <w:b/>
          <w:bCs/>
          <w:color w:val="0E1F33"/>
          <w:sz w:val="22"/>
          <w:szCs w:val="22"/>
        </w:rPr>
        <w:t xml:space="preserve">Presenter Talking Points</w:t>
      </w:r>
    </w:p>
    <w:p>
      <w:pPr>
        <w:pStyle w:val="ListParagraph"/>
        <w:numPr>
          <w:ilvl w:val="0"/>
          <w:numId w:val="3"/>
        </w:numPr>
        <w:spacing w:after="90"/>
      </w:pPr>
      <w:r>
        <w:rPr>
          <w:rFonts w:ascii="Calibri" w:cs="Calibri" w:eastAsia="Calibri" w:hAnsi="Calibri"/>
          <w:color w:val="5C6678"/>
          <w:sz w:val="21"/>
          <w:szCs w:val="21"/>
        </w:rPr>
        <w:t xml:space="preserve">Open by naming the emotional reality directly: "Nobody checks their backup schedule on a good day — let's make sure yours is right before you ever need to."</w:t>
      </w:r>
    </w:p>
    <w:p>
      <w:pPr>
        <w:pStyle w:val="ListParagraph"/>
        <w:numPr>
          <w:ilvl w:val="0"/>
          <w:numId w:val="3"/>
        </w:numPr>
        <w:spacing w:after="90"/>
      </w:pPr>
      <w:r>
        <w:rPr>
          <w:rFonts w:ascii="Calibri" w:cs="Calibri" w:eastAsia="Calibri" w:hAnsi="Calibri"/>
          <w:color w:val="5C6678"/>
          <w:sz w:val="21"/>
          <w:szCs w:val="21"/>
        </w:rPr>
        <w:t xml:space="preserve">At the audit log, deliberately find and point to a read-only entry: "Notice this isn't an edit — someone just looked. And that's logged too."</w:t>
      </w:r>
    </w:p>
    <w:p>
      <w:pPr>
        <w:pStyle w:val="ListParagraph"/>
        <w:numPr>
          <w:ilvl w:val="0"/>
          <w:numId w:val="3"/>
        </w:numPr>
        <w:spacing w:after="90"/>
      </w:pPr>
      <w:r>
        <w:rPr>
          <w:rFonts w:ascii="Calibri" w:cs="Calibri" w:eastAsia="Calibri" w:hAnsi="Calibri"/>
          <w:color w:val="5C6678"/>
          <w:sz w:val="21"/>
          <w:szCs w:val="21"/>
        </w:rPr>
        <w:t xml:space="preserve">When explaining the on-call schedule, connect it concretely to two earlier modules by name: "This is the thing the critical-result protocol from Module 1, and STAT requests from Module 3, actually call when something urgent happens."</w:t>
      </w:r>
    </w:p>
    <w:p>
      <w:pPr>
        <w:pStyle w:val="ListParagraph"/>
        <w:numPr>
          <w:ilvl w:val="0"/>
          <w:numId w:val="3"/>
        </w:numPr>
        <w:spacing w:after="90"/>
      </w:pPr>
      <w:r>
        <w:rPr>
          <w:rFonts w:ascii="Calibri" w:cs="Calibri" w:eastAsia="Calibri" w:hAnsi="Calibri"/>
          <w:color w:val="5C6678"/>
          <w:sz w:val="21"/>
          <w:szCs w:val="21"/>
        </w:rPr>
        <w:t xml:space="preserve">Close with a direct, practical instruction: "Before you finish this lesson, go check your own sandbox's on-call schedule right now — don't wait."</w:t>
      </w:r>
    </w:p>
    <w:p>
      <w:pPr>
        <w:spacing w:after="100" w:before="220"/>
      </w:pPr>
      <w:r>
        <w:rPr>
          <w:rFonts w:ascii="Calibri" w:cs="Calibri" w:eastAsia="Calibri" w:hAnsi="Calibri"/>
          <w:b/>
          <w:bCs/>
          <w:color w:val="0E1F33"/>
          <w:sz w:val="22"/>
          <w:szCs w:val="22"/>
        </w:rPr>
        <w:t xml:space="preserve">Demonstration Steps (Screen Recording)</w:t>
      </w:r>
    </w:p>
    <w:p>
      <w:pPr>
        <w:pStyle w:val="ListParagraph"/>
        <w:numPr>
          <w:ilvl w:val="0"/>
          <w:numId w:val="9"/>
        </w:numPr>
        <w:spacing w:after="90"/>
      </w:pPr>
      <w:r>
        <w:rPr>
          <w:rFonts w:ascii="Calibri" w:cs="Calibri" w:eastAsia="Calibri" w:hAnsi="Calibri"/>
          <w:color w:val="5C6678"/>
          <w:sz w:val="21"/>
          <w:szCs w:val="21"/>
        </w:rPr>
        <w:t xml:space="preserve">Open Subscription &amp; Billing, point to usage meters, simulate or describe the yellow/red threshold states.</w:t>
      </w:r>
    </w:p>
    <w:p>
      <w:pPr>
        <w:pStyle w:val="ListParagraph"/>
        <w:numPr>
          <w:ilvl w:val="0"/>
          <w:numId w:val="9"/>
        </w:numPr>
        <w:spacing w:after="90"/>
      </w:pPr>
      <w:r>
        <w:rPr>
          <w:rFonts w:ascii="Calibri" w:cs="Calibri" w:eastAsia="Calibri" w:hAnsi="Calibri"/>
          <w:color w:val="5C6678"/>
          <w:sz w:val="21"/>
          <w:szCs w:val="21"/>
        </w:rPr>
        <w:t xml:space="preserve">Open the audit log, filter to find a read-only access entry, point out the hash-chain indicator.</w:t>
      </w:r>
    </w:p>
    <w:p>
      <w:pPr>
        <w:pStyle w:val="ListParagraph"/>
        <w:numPr>
          <w:ilvl w:val="0"/>
          <w:numId w:val="9"/>
        </w:numPr>
        <w:spacing w:after="90"/>
      </w:pPr>
      <w:r>
        <w:rPr>
          <w:rFonts w:ascii="Calibri" w:cs="Calibri" w:eastAsia="Calibri" w:hAnsi="Calibri"/>
          <w:color w:val="5C6678"/>
          <w:sz w:val="21"/>
          <w:szCs w:val="21"/>
        </w:rPr>
        <w:t xml:space="preserve">Cut to a simple two-region backup graphic (Lagos primary / Frankfurt secondary) with the 30-day point-in-time recovery window labelled.</w:t>
      </w:r>
    </w:p>
    <w:p>
      <w:pPr>
        <w:pStyle w:val="ListParagraph"/>
        <w:numPr>
          <w:ilvl w:val="0"/>
          <w:numId w:val="9"/>
        </w:numPr>
        <w:spacing w:after="90"/>
      </w:pPr>
      <w:r>
        <w:rPr>
          <w:rFonts w:ascii="Calibri" w:cs="Calibri" w:eastAsia="Calibri" w:hAnsi="Calibri"/>
          <w:color w:val="5C6678"/>
          <w:sz w:val="21"/>
          <w:szCs w:val="21"/>
        </w:rPr>
        <w:t xml:space="preserve">Open Settings → Integrations → Termii and WhatsApp Business, show the connection screens, then a simple WhatsApp→SMS→Email fallback diagram.</w:t>
      </w:r>
    </w:p>
    <w:p>
      <w:pPr>
        <w:pStyle w:val="ListParagraph"/>
        <w:numPr>
          <w:ilvl w:val="0"/>
          <w:numId w:val="9"/>
        </w:numPr>
        <w:spacing w:after="90"/>
      </w:pPr>
      <w:r>
        <w:rPr>
          <w:rFonts w:ascii="Calibri" w:cs="Calibri" w:eastAsia="Calibri" w:hAnsi="Calibri"/>
          <w:color w:val="5C6678"/>
          <w:sz w:val="21"/>
          <w:szCs w:val="21"/>
        </w:rPr>
        <w:t xml:space="preserve">Open the operating-hours and on-call configuration screens, assign a pathologist and scientist for an upcoming weekend.</w:t>
      </w:r>
    </w:p>
    <w:p>
      <w:pPr>
        <w:pStyle w:val="ListParagraph"/>
        <w:numPr>
          <w:ilvl w:val="0"/>
          <w:numId w:val="9"/>
        </w:numPr>
        <w:spacing w:after="90"/>
      </w:pPr>
      <w:r>
        <w:rPr>
          <w:rFonts w:ascii="Calibri" w:cs="Calibri" w:eastAsia="Calibri" w:hAnsi="Calibri"/>
          <w:color w:val="5C6678"/>
          <w:sz w:val="21"/>
          <w:szCs w:val="21"/>
        </w:rPr>
        <w:t xml:space="preserve">Briefly show the SSO provider list and the API Keys generation screen, including the "shown once" warning on a newly generated key.</w:t>
      </w:r>
    </w:p>
    <w:p>
      <w:pPr>
        <w:spacing w:after="100" w:before="220"/>
      </w:pPr>
      <w:r>
        <w:rPr>
          <w:rFonts w:ascii="Calibri" w:cs="Calibri" w:eastAsia="Calibri" w:hAnsi="Calibri"/>
          <w:b/>
          <w:bCs/>
          <w:color w:val="0E1F33"/>
          <w:sz w:val="22"/>
          <w:szCs w:val="22"/>
        </w:rPr>
        <w:t xml:space="preserve">Key Takeaways (on-screen end card)</w:t>
      </w:r>
    </w:p>
    <w:p>
      <w:pPr>
        <w:pStyle w:val="ListParagraph"/>
        <w:numPr>
          <w:ilvl w:val="0"/>
          <w:numId w:val="3"/>
        </w:numPr>
        <w:spacing w:after="90"/>
      </w:pPr>
      <w:r>
        <w:rPr>
          <w:rFonts w:ascii="Calibri" w:cs="Calibri" w:eastAsia="Calibri" w:hAnsi="Calibri"/>
          <w:color w:val="5C6678"/>
          <w:sz w:val="21"/>
          <w:szCs w:val="21"/>
        </w:rPr>
        <w:t xml:space="preserve">Act at the yellow (75%) usage warning — don't wait for red (90%).</w:t>
      </w:r>
    </w:p>
    <w:p>
      <w:pPr>
        <w:pStyle w:val="ListParagraph"/>
        <w:numPr>
          <w:ilvl w:val="0"/>
          <w:numId w:val="3"/>
        </w:numPr>
        <w:spacing w:after="90"/>
      </w:pPr>
      <w:r>
        <w:rPr>
          <w:rFonts w:ascii="Calibri" w:cs="Calibri" w:eastAsia="Calibri" w:hAnsi="Calibri"/>
          <w:color w:val="5C6678"/>
          <w:sz w:val="21"/>
          <w:szCs w:val="21"/>
        </w:rPr>
        <w:t xml:space="preserve">The audit log captures read-only access too, and cannot be edited by anyone, including tenant admins.</w:t>
      </w:r>
    </w:p>
    <w:p>
      <w:pPr>
        <w:pStyle w:val="ListParagraph"/>
        <w:numPr>
          <w:ilvl w:val="0"/>
          <w:numId w:val="3"/>
        </w:numPr>
        <w:spacing w:after="90"/>
      </w:pPr>
      <w:r>
        <w:rPr>
          <w:rFonts w:ascii="Calibri" w:cs="Calibri" w:eastAsia="Calibri" w:hAnsi="Calibri"/>
          <w:color w:val="5C6678"/>
          <w:sz w:val="21"/>
          <w:szCs w:val="21"/>
        </w:rPr>
        <w:t xml:space="preserve">Backups are dual-region and point-in-time recoverable for 30 days — but export your own data too, it's your right.</w:t>
      </w:r>
    </w:p>
    <w:p>
      <w:pPr>
        <w:pStyle w:val="ListParagraph"/>
        <w:numPr>
          <w:ilvl w:val="0"/>
          <w:numId w:val="3"/>
        </w:numPr>
        <w:spacing w:after="90"/>
      </w:pPr>
      <w:r>
        <w:rPr>
          <w:rFonts w:ascii="Calibri" w:cs="Calibri" w:eastAsia="Calibri" w:hAnsi="Calibri"/>
          <w:color w:val="5C6678"/>
          <w:sz w:val="21"/>
          <w:szCs w:val="21"/>
        </w:rPr>
        <w:t xml:space="preserve">An empty on-call schedule silently breaks automatic critical-result and STAT paging.</w:t>
      </w:r>
    </w:p>
    <w:p>
      <w:pPr>
        <w:pStyle w:val="ListParagraph"/>
        <w:numPr>
          <w:ilvl w:val="0"/>
          <w:numId w:val="3"/>
        </w:numPr>
        <w:spacing w:after="90"/>
      </w:pPr>
      <w:r>
        <w:rPr>
          <w:rFonts w:ascii="Calibri" w:cs="Calibri" w:eastAsia="Calibri" w:hAnsi="Calibri"/>
          <w:color w:val="5C6678"/>
          <w:sz w:val="21"/>
          <w:szCs w:val="21"/>
        </w:rPr>
        <w:t xml:space="preserve">API keys are shown once — store them securely immediately.</w:t>
      </w:r>
    </w:p>
    <w:p>
      <w:pPr>
        <w:spacing w:after="100" w:before="220"/>
      </w:pPr>
      <w:r>
        <w:rPr>
          <w:rFonts w:ascii="Calibri" w:cs="Calibri" w:eastAsia="Calibri" w:hAnsi="Calibri"/>
          <w:b/>
          <w:bCs/>
          <w:color w:val="0E1F33"/>
          <w:sz w:val="22"/>
          <w:szCs w:val="22"/>
        </w:rPr>
        <w:t xml:space="preserve">Recommended Visuals</w:t>
      </w:r>
    </w:p>
    <w:p>
      <w:pPr>
        <w:pStyle w:val="ListParagraph"/>
        <w:numPr>
          <w:ilvl w:val="0"/>
          <w:numId w:val="3"/>
        </w:numPr>
        <w:spacing w:after="90"/>
      </w:pPr>
      <w:r>
        <w:rPr>
          <w:rFonts w:ascii="Calibri" w:cs="Calibri" w:eastAsia="Calibri" w:hAnsi="Calibri"/>
          <w:color w:val="5C6678"/>
          <w:sz w:val="21"/>
          <w:szCs w:val="21"/>
        </w:rPr>
        <w:t xml:space="preserve">Usage-meter graphic showing green/yellow/red states side by side with the 75%/90% thresholds labelled.</w:t>
      </w:r>
    </w:p>
    <w:p>
      <w:pPr>
        <w:pStyle w:val="ListParagraph"/>
        <w:numPr>
          <w:ilvl w:val="0"/>
          <w:numId w:val="3"/>
        </w:numPr>
        <w:spacing w:after="90"/>
      </w:pPr>
      <w:r>
        <w:rPr>
          <w:rFonts w:ascii="Calibri" w:cs="Calibri" w:eastAsia="Calibri" w:hAnsi="Calibri"/>
          <w:color w:val="5C6678"/>
          <w:sz w:val="21"/>
          <w:szCs w:val="21"/>
        </w:rPr>
        <w:t xml:space="preserve">Two-region backup map graphic (Lagos / Frankfurt) with a simple 30-day recovery timeline beneath it.</w:t>
      </w:r>
    </w:p>
    <w:p>
      <w:pPr>
        <w:pStyle w:val="ListParagraph"/>
        <w:numPr>
          <w:ilvl w:val="0"/>
          <w:numId w:val="3"/>
        </w:numPr>
        <w:spacing w:after="90"/>
      </w:pPr>
      <w:r>
        <w:rPr>
          <w:rFonts w:ascii="Calibri" w:cs="Calibri" w:eastAsia="Calibri" w:hAnsi="Calibri"/>
          <w:color w:val="5C6678"/>
          <w:sz w:val="21"/>
          <w:szCs w:val="21"/>
        </w:rPr>
        <w:t xml:space="preserve">WhatsApp → SMS → Email fallback flow shown as a simple left-to-right arrow diagram.</w:t>
      </w:r>
    </w:p>
    <w:p>
      <w:pPr>
        <w:pStyle w:val="ListParagraph"/>
        <w:numPr>
          <w:ilvl w:val="0"/>
          <w:numId w:val="3"/>
        </w:numPr>
        <w:spacing w:after="90"/>
      </w:pPr>
      <w:r>
        <w:rPr>
          <w:rFonts w:ascii="Calibri" w:cs="Calibri" w:eastAsia="Calibri" w:hAnsi="Calibri"/>
          <w:color w:val="5C6678"/>
          <w:sz w:val="21"/>
          <w:szCs w:val="21"/>
        </w:rPr>
        <w:t xml:space="preserve">On-call calendar mockup with a pathologist and scientist icon assigned to a highlighted weekend.</w:t>
      </w:r>
    </w:p>
    <w:p>
      <w:r>
        <w:br w:type="page"/>
      </w:r>
    </w:p>
    <w:p>
      <w:pPr>
        <w:spacing w:after="60"/>
      </w:pPr>
      <w:r>
        <w:rPr>
          <w:rFonts w:ascii="Calibri" w:cs="Calibri" w:eastAsia="Calibri" w:hAnsi="Calibri"/>
          <w:b/>
          <w:bCs/>
          <w:color w:val="A8552E"/>
          <w:spacing w:val="14"/>
          <w:sz w:val="17"/>
          <w:szCs w:val="17"/>
        </w:rPr>
        <w:t xml:space="preserve">MODULE 4</w:t>
      </w:r>
    </w:p>
    <w:p>
      <w:pPr>
        <w:pStyle w:val="Heading1"/>
      </w:pPr>
      <w:r>
        <w:rPr>
          <w:rFonts w:ascii="Calibri" w:cs="Calibri" w:eastAsia="Calibri" w:hAnsi="Calibri"/>
        </w:rPr>
        <w:t xml:space="preserve">Module Assessment Criteria</w:t>
      </w:r>
    </w:p>
    <w:p>
      <w:pPr>
        <w:spacing w:after="200"/>
      </w:pPr>
      <w:r>
        <w:rPr>
          <w:rFonts w:ascii="Calibri" w:cs="Calibri" w:eastAsia="Calibri" w:hAnsi="Calibri"/>
          <w:color w:val="5C6678"/>
          <w:sz w:val="23"/>
          <w:szCs w:val="23"/>
        </w:rPr>
        <w:t xml:space="preserve">Module 4 assessment confirms a learner can independently stand up and govern a LabOS tenant's administrative foundation — staff, branches, identity, pricing, subscription, backup, audit, and connectivity — not merely locate each setting when prompted.</w:t>
      </w:r>
    </w:p>
    <w:p>
      <w:pPr>
        <w:spacing w:after="80"/>
      </w:pPr>
    </w:p>
    <w:p>
      <w:pPr>
        <w:pStyle w:val="Heading2"/>
      </w:pPr>
      <w:r>
        <w:rPr>
          <w:rFonts w:ascii="Calibri" w:cs="Calibri" w:eastAsia="Calibri" w:hAnsi="Calibri"/>
        </w:rPr>
        <w:t xml:space="preserve">Assessment Components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7020"/>
      </w:tblGrid>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KNOWLEDGE CHECKS</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9 questions total (3 per lesson) — minimum 80% correct to pass</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PRACTICAL TASK</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Complete Exercise 4.3 (tenant governance review) unaided in a sandbox environment, building on the staff and branch setup from Exercises 4.1 and 4.2</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REFLECTIVE COMPONENT</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Written response: "Identify one setting or configuration in this module that feels low-priority on a normal day, and explain specifically what would go wrong on the one day it actually mattered."</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PASSING THRESHOLD</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80%+ on knowledge checks, full completion of the practical task, and a reflective response demonstrating genuine conceptual understanding (instructor- or rubric-assessed for self-paced delivery)</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RETAKE POLICY</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Unlimited retakes on knowledge checks; practical task may be reattempted after instructor or automated feedback</w:t>
            </w:r>
          </w:p>
        </w:tc>
      </w:tr>
    </w:tbl>
    <w:p>
      <w:pPr>
        <w:spacing w:after="200"/>
      </w:pPr>
    </w:p>
    <w:p>
      <w:pPr>
        <w:pStyle w:val="Heading2"/>
      </w:pPr>
      <w:r>
        <w:rPr>
          <w:rFonts w:ascii="Calibri" w:cs="Calibri" w:eastAsia="Calibri" w:hAnsi="Calibri"/>
        </w:rPr>
        <w:t xml:space="preserve">What This Module Feeds Into</w:t>
      </w:r>
    </w:p>
    <w:p>
      <w:pPr>
        <w:spacing w:after="160"/>
      </w:pPr>
      <w:r>
        <w:rPr>
          <w:rFonts w:ascii="Calibri" w:cs="Calibri" w:eastAsia="Calibri" w:hAnsi="Calibri"/>
          <w:color w:val="5C6678"/>
          <w:sz w:val="21"/>
          <w:szCs w:val="21"/>
        </w:rPr>
        <w:t xml:space="preserve">Module 4 establishes the administrative foundation every remaining module assumes is already in place. Module 5 (Billing &amp; Payments) depends directly on the pricing structure and tenant banking details configured here. Module 6 (Core Integrations Setup) builds on the Termii and WhatsApp Business connections introduced in this module's third lesson, extending them to NHIS Portal and HL7. Module 11 (Compliance &amp; Security), much later in Level 3, returns to the audit log and backup/recovery content from this module in significantly greater depth, including formal NDPR obligations this module only introduced. A learner who has only configured these settings mechanically, without understanding why each one matters on the day it's actually tested, will find that gap most visible in Module 11.</w:t>
      </w:r>
    </w:p>
    <w:sectPr>
      <w:headerReference w:type="default" r:id="rId7"/>
      <w:headerReference w:type="first" r:id="rId8"/>
      <w:footerReference w:type="default" r:id="rId9"/>
      <w:footerReference w:type="first" r:id="rId10"/>
      <w:pgSz w:w="12240" w:h="15840" w:orient="portrait"/>
      <w:pgMar w:top="1440" w:right="1260" w:bottom="1440" w:left="126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2" w:sz="4" w:space="6"/>
      </w:pBdr>
      <w:tabs>
        <w:tab w:val="right" w:pos="9026"/>
      </w:tabs>
    </w:pPr>
    <w:r>
      <w:rPr>
        <w:rFonts w:ascii="Calibri" w:cs="Calibri" w:eastAsia="Calibri" w:hAnsi="Calibri"/>
        <w:color w:val="8C95A6"/>
        <w:sz w:val="15"/>
        <w:szCs w:val="15"/>
      </w:rPr>
      <w:t xml:space="preserve">AgoroX Academy — CLA Module 4: Staff, Branches &amp; Tenant Configuration</w:t>
    </w:r>
    <w:r>
      <w:rPr>
        <w:rFonts w:ascii="Calibri" w:cs="Calibri" w:eastAsia="Calibri" w:hAnsi="Calibri"/>
        <w:color w:val="8C95A6"/>
        <w:sz w:val="15"/>
        <w:szCs w:val="15"/>
      </w:rPr>
      <w:t xml:space="preserve">	Page </w:t>
    </w:r>
    <w:r>
      <w:rPr>
        <w:rFonts w:ascii="Calibri" w:cs="Calibri" w:eastAsia="Calibri" w:hAnsi="Calibri"/>
        <w:color w:val="8C95A6"/>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A8552E"/>
      </w:r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abstractNum w:abstractNumId="8" w15:restartNumberingAfterBreak="0">
    <w:multiLevelType w:val="hybridMultilevel"/>
    <w:lvl w:ilvl="0" w15:tentative="1">
      <w:start w:val="1"/>
      <w:numFmt w:val="decimal"/>
      <w:lvlText w:val="%1."/>
      <w:lvlJc w:val="left"/>
      <w:pPr>
        <w:ind w:left="420" w:hanging="260"/>
      </w:pPr>
    </w:lvl>
  </w:abstractNum>
  <w:abstractNum w:abstractNumId="9"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C667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0E1F33"/>
      <w:sz w:val="34"/>
      <w:szCs w:val="34"/>
    </w:rPr>
  </w:style>
  <w:style w:type="paragraph" w:styleId="Heading2">
    <w:name w:val="Heading 2"/>
    <w:basedOn w:val="Normal"/>
    <w:next w:val="Normal"/>
    <w:qFormat/>
    <w:pPr>
      <w:pBdr>
        <w:bottom w:val="single" w:color="D8DCE2" w:sz="4" w:space="6"/>
      </w:pBdr>
      <w:spacing w:after="130" w:before="300"/>
      <w:outlineLvl w:val="1"/>
    </w:pPr>
    <w:rPr>
      <w:rFonts w:ascii="Calibri" w:cs="Calibri" w:eastAsia="Calibri" w:hAnsi="Calibri"/>
      <w:b/>
      <w:bCs/>
      <w:color w:val="0E1F33"/>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0E1F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1ed13b30616d36706c0fb81e1122c8695ac1aa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2026-06-21T18:25:38.738Z</dcterms:created>
  <dcterms:modified xsi:type="dcterms:W3CDTF">2026-06-21T18:25:38.738Z</dcterms:modified>
</cp:coreProperties>
</file>

<file path=docProps/custom.xml><?xml version="1.0" encoding="utf-8"?>
<Properties xmlns="http://schemas.openxmlformats.org/officeDocument/2006/custom-properties" xmlns:vt="http://schemas.openxmlformats.org/officeDocument/2006/docPropsVTypes"/>
</file>