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5 — Billing &amp; Payments</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5 OF 11 · LABOS ADMINISTRATOR (LEVEL 2)</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5 is built from ten Help &amp; Documentation articles in the LabOS "Billing" category, covering every way money moves through a LabOS tenant — from a patient tapping a card, to an HMO settling a claim six weeks later, to an accountant closing the books at year end.</w:t>
      </w:r>
    </w:p>
    <w:p>
      <w:pPr>
        <w:spacing w:after="160"/>
      </w:pPr>
      <w:r>
        <w:rPr>
          <w:rFonts w:ascii="Calibri" w:cs="Calibri" w:eastAsia="Calibri" w:hAnsi="Calibri"/>
          <w:color w:val="5C6678"/>
          <w:sz w:val="21"/>
          <w:szCs w:val="21"/>
        </w:rPr>
        <w:t xml:space="preserve">Billing is where clinical excellence and business survival meet. A laboratory can run a flawless seven-stage clinical workflow and still fail as a business if the money behind it is mismanaged — claims unsubmitted, cash unreconciled, debt left to age past recovery. This module treats billing with the same seriousness Level 1 gave to patient safety, because a laboratory that cannot reliably collect what it is owed cannot keep its doors open to provide that clinical care at all.</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2 — LabOS Administrator, Module 2 of 3 in this level</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10 Help &amp; Documentation articles (bl-1 through bl-10),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80–100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Module 4 — Staff, Branches &amp; Tenant Configuration</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Nigerian laboratory billing is genuinely more complex than a single "charge the card" transaction — the same patient population pays through cash, bank transfer, card, NHIS, and private HMOs, often within the same single day, and a meaningful share of revenue arrives weeks after the service was actually delivered, via insurance claim cycles an administrator must actively manage rather than passively wait on. This module exists to build fluency across every one of these payment realities, because a billing administrator who only understands card payments will be lost the moment an NHIS claim is rejected, a corporate invoice goes unpaid, or a till comes up short at the end of a shift.</w:t>
      </w:r>
    </w:p>
    <w:p>
      <w:r>
        <w:br w:type="page"/>
      </w:r>
    </w:p>
    <w:p>
      <w:pPr>
        <w:spacing w:after="60"/>
      </w:pPr>
      <w:r>
        <w:rPr>
          <w:rFonts w:ascii="Calibri" w:cs="Calibri" w:eastAsia="Calibri" w:hAnsi="Calibri"/>
          <w:b/>
          <w:bCs/>
          <w:color w:val="A8552E"/>
          <w:spacing w:val="14"/>
          <w:sz w:val="17"/>
          <w:szCs w:val="17"/>
        </w:rPr>
        <w:t xml:space="preserve">MODULE 5</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5, a learner will be able to do all of the following.</w:t>
      </w:r>
    </w:p>
    <w:p>
      <w:pPr>
        <w:spacing w:after="80"/>
      </w:pPr>
    </w:p>
    <w:p>
      <w:pPr>
        <w:pStyle w:val="ListParagraph"/>
        <w:numPr>
          <w:ilvl w:val="0"/>
          <w:numId w:val="2"/>
        </w:numPr>
        <w:spacing w:after="90"/>
      </w:pPr>
      <w:r>
        <w:rPr>
          <w:rFonts w:ascii="Calibri" w:cs="Calibri" w:eastAsia="Calibri" w:hAnsi="Calibri"/>
          <w:color w:val="5C6678"/>
          <w:sz w:val="21"/>
          <w:szCs w:val="21"/>
        </w:rPr>
        <w:t xml:space="preserve">Connect and test a Paystack integration correctly, and explain the settlement timing difference between card and direct bank transfer payments.</w:t>
      </w:r>
    </w:p>
    <w:p>
      <w:pPr>
        <w:pStyle w:val="ListParagraph"/>
        <w:numPr>
          <w:ilvl w:val="0"/>
          <w:numId w:val="2"/>
        </w:numPr>
        <w:spacing w:after="90"/>
      </w:pPr>
      <w:r>
        <w:rPr>
          <w:rFonts w:ascii="Calibri" w:cs="Calibri" w:eastAsia="Calibri" w:hAnsi="Calibri"/>
          <w:color w:val="5C6678"/>
          <w:sz w:val="21"/>
          <w:szCs w:val="21"/>
        </w:rPr>
        <w:t xml:space="preserve">Set up an NHIS or HMO insurance provider, capture insurance details correctly at registration, and track a claim through its full status lifecycle.</w:t>
      </w:r>
    </w:p>
    <w:p>
      <w:pPr>
        <w:pStyle w:val="ListParagraph"/>
        <w:numPr>
          <w:ilvl w:val="0"/>
          <w:numId w:val="2"/>
        </w:numPr>
        <w:spacing w:after="90"/>
      </w:pPr>
      <w:r>
        <w:rPr>
          <w:rFonts w:ascii="Calibri" w:cs="Calibri" w:eastAsia="Calibri" w:hAnsi="Calibri"/>
          <w:color w:val="5C6678"/>
          <w:sz w:val="21"/>
          <w:szCs w:val="21"/>
        </w:rPr>
        <w:t xml:space="preserve">Process cash, bank transfer, and POS payments correctly, including end-of-day till reconciliation with proper variance handling.</w:t>
      </w:r>
    </w:p>
    <w:p>
      <w:pPr>
        <w:pStyle w:val="ListParagraph"/>
        <w:numPr>
          <w:ilvl w:val="0"/>
          <w:numId w:val="2"/>
        </w:numPr>
        <w:spacing w:after="90"/>
      </w:pPr>
      <w:r>
        <w:rPr>
          <w:rFonts w:ascii="Calibri" w:cs="Calibri" w:eastAsia="Calibri" w:hAnsi="Calibri"/>
          <w:color w:val="5C6678"/>
          <w:sz w:val="21"/>
          <w:szCs w:val="21"/>
        </w:rPr>
        <w:t xml:space="preserve">Issue a refund through the correct channel for the original payment method, and configure a discount code appropriately for its intended use.</w:t>
      </w:r>
    </w:p>
    <w:p>
      <w:pPr>
        <w:pStyle w:val="ListParagraph"/>
        <w:numPr>
          <w:ilvl w:val="0"/>
          <w:numId w:val="2"/>
        </w:numPr>
        <w:spacing w:after="90"/>
      </w:pPr>
      <w:r>
        <w:rPr>
          <w:rFonts w:ascii="Calibri" w:cs="Calibri" w:eastAsia="Calibri" w:hAnsi="Calibri"/>
          <w:color w:val="5C6678"/>
          <w:sz w:val="21"/>
          <w:szCs w:val="21"/>
        </w:rPr>
        <w:t xml:space="preserve">Set up and manage a corporate billing account, including credit limits, payment terms, and the monthly consolidated invoicing cycle.</w:t>
      </w:r>
    </w:p>
    <w:p>
      <w:pPr>
        <w:pStyle w:val="ListParagraph"/>
        <w:numPr>
          <w:ilvl w:val="0"/>
          <w:numId w:val="2"/>
        </w:numPr>
        <w:spacing w:after="90"/>
      </w:pPr>
      <w:r>
        <w:rPr>
          <w:rFonts w:ascii="Calibri" w:cs="Calibri" w:eastAsia="Calibri" w:hAnsi="Calibri"/>
          <w:color w:val="5C6678"/>
          <w:sz w:val="21"/>
          <w:szCs w:val="21"/>
        </w:rPr>
        <w:t xml:space="preserve">Convert an eligible invoice to a payment plan correctly, understanding the value threshold and instalment mechanics.</w:t>
      </w:r>
    </w:p>
    <w:p>
      <w:pPr>
        <w:pStyle w:val="ListParagraph"/>
        <w:numPr>
          <w:ilvl w:val="0"/>
          <w:numId w:val="2"/>
        </w:numPr>
        <w:spacing w:after="90"/>
      </w:pPr>
      <w:r>
        <w:rPr>
          <w:rFonts w:ascii="Calibri" w:cs="Calibri" w:eastAsia="Calibri" w:hAnsi="Calibri"/>
          <w:color w:val="5C6678"/>
          <w:sz w:val="21"/>
          <w:szCs w:val="21"/>
        </w:rPr>
        <w:t xml:space="preserve">Perform a complete end-of-day reconciliation and interpret the Daily Summary report.</w:t>
      </w:r>
    </w:p>
    <w:p>
      <w:pPr>
        <w:pStyle w:val="ListParagraph"/>
        <w:numPr>
          <w:ilvl w:val="0"/>
          <w:numId w:val="2"/>
        </w:numPr>
        <w:spacing w:after="90"/>
      </w:pPr>
      <w:r>
        <w:rPr>
          <w:rFonts w:ascii="Calibri" w:cs="Calibri" w:eastAsia="Calibri" w:hAnsi="Calibri"/>
          <w:color w:val="5C6678"/>
          <w:sz w:val="21"/>
          <w:szCs w:val="21"/>
        </w:rPr>
        <w:t xml:space="preserve">Use the Aged Receivables view to assess outstanding patient debt and apply the correct reminder cadence.</w:t>
      </w:r>
    </w:p>
    <w:p>
      <w:pPr>
        <w:pStyle w:val="ListParagraph"/>
        <w:numPr>
          <w:ilvl w:val="0"/>
          <w:numId w:val="2"/>
        </w:numPr>
        <w:spacing w:after="90"/>
      </w:pPr>
      <w:r>
        <w:rPr>
          <w:rFonts w:ascii="Calibri" w:cs="Calibri" w:eastAsia="Calibri" w:hAnsi="Calibri"/>
          <w:color w:val="5C6678"/>
          <w:sz w:val="21"/>
          <w:szCs w:val="21"/>
        </w:rPr>
        <w:t xml:space="preserve">Explain how LabOS applies VAT to a tax invoice, and generate the correct financial exports for an external accountant.</w:t>
      </w:r>
    </w:p>
    <w:p>
      <w:r>
        <w:br w:type="page"/>
      </w:r>
    </w:p>
    <w:p>
      <w:pPr>
        <w:spacing w:after="60"/>
      </w:pPr>
      <w:r>
        <w:rPr>
          <w:rFonts w:ascii="Calibri" w:cs="Calibri" w:eastAsia="Calibri" w:hAnsi="Calibri"/>
          <w:b/>
          <w:bCs/>
          <w:color w:val="A8552E"/>
          <w:spacing w:val="14"/>
          <w:sz w:val="17"/>
          <w:szCs w:val="17"/>
        </w:rPr>
        <w:t xml:space="preserve">MODULE 5</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ideas recur across this module's three lessons, and underpin a competent administrator's instinct for where financial risk actually lives in a laboratory.</w:t>
      </w:r>
    </w:p>
    <w:p>
      <w:pPr>
        <w:spacing w:after="80"/>
      </w:pPr>
    </w:p>
    <w:p>
      <w:pPr>
        <w:spacing w:after="100" w:before="220"/>
      </w:pPr>
      <w:r>
        <w:rPr>
          <w:rFonts w:ascii="Calibri" w:cs="Calibri" w:eastAsia="Calibri" w:hAnsi="Calibri"/>
          <w:b/>
          <w:bCs/>
          <w:color w:val="0E1F33"/>
          <w:sz w:val="22"/>
          <w:szCs w:val="22"/>
        </w:rPr>
        <w:t xml:space="preserve">Concept: Every payment method has a different trust and timing profile</w:t>
      </w:r>
    </w:p>
    <w:p>
      <w:pPr>
        <w:spacing w:after="160"/>
      </w:pPr>
      <w:r>
        <w:rPr>
          <w:rFonts w:ascii="Calibri" w:cs="Calibri" w:eastAsia="Calibri" w:hAnsi="Calibri"/>
          <w:color w:val="5C6678"/>
          <w:sz w:val="21"/>
          <w:szCs w:val="21"/>
        </w:rPr>
        <w:t xml:space="preserve">Cash is trusted instantly but physically vulnerable to miscounting or loss. A Paystack card payment is verified instantly but settles to your account a day later. A bank transfer is claimed instantly by the patient but isn't actually confirmed until an accountant matches it against a real bank statement. An NHIS or HMO claim might not be confirmed as paid for weeks. None of these are interchangeable, and an administrator who treats every payment as equally final the moment it's recorded will eventually be caught out by one that wasn't actually settled yet.</w:t>
      </w:r>
    </w:p>
    <w:p>
      <w:pPr>
        <w:spacing w:after="100" w:before="220"/>
      </w:pPr>
      <w:r>
        <w:rPr>
          <w:rFonts w:ascii="Calibri" w:cs="Calibri" w:eastAsia="Calibri" w:hAnsi="Calibri"/>
          <w:b/>
          <w:bCs/>
          <w:color w:val="0E1F33"/>
          <w:sz w:val="22"/>
          <w:szCs w:val="22"/>
        </w:rPr>
        <w:t xml:space="preserve">Concept: Billing exceptions are not edge cases — they are routine business reality</w:t>
      </w:r>
    </w:p>
    <w:p>
      <w:pPr>
        <w:spacing w:after="160"/>
      </w:pPr>
      <w:r>
        <w:rPr>
          <w:rFonts w:ascii="Calibri" w:cs="Calibri" w:eastAsia="Calibri" w:hAnsi="Calibri"/>
          <w:color w:val="5C6678"/>
          <w:sz w:val="21"/>
          <w:szCs w:val="21"/>
        </w:rPr>
        <w:t xml:space="preserve">Refunds, discounts, corporate accounts, and payment plans can feel like exceptions to a "normal" invoice. In a real Nigerian laboratory, they are routine, recurring parts of the business — corporate pre-employment medicals are a major revenue stream for many labs, payment plans are a genuine clinical-access tool for expensive genetic tests, and discount codes are a standard part of patient relationships and staff benefits. This module treats these as core competencies, not rare edge cases to handle nervously when they come up.</w:t>
      </w:r>
    </w:p>
    <w:p>
      <w:pPr>
        <w:spacing w:after="100" w:before="220"/>
      </w:pPr>
      <w:r>
        <w:rPr>
          <w:rFonts w:ascii="Calibri" w:cs="Calibri" w:eastAsia="Calibri" w:hAnsi="Calibri"/>
          <w:b/>
          <w:bCs/>
          <w:color w:val="0E1F33"/>
          <w:sz w:val="22"/>
          <w:szCs w:val="22"/>
        </w:rPr>
        <w:t xml:space="preserve">Concept: Reconciliation is what makes recorded revenue real</w:t>
      </w:r>
    </w:p>
    <w:p>
      <w:pPr>
        <w:spacing w:after="160"/>
      </w:pPr>
      <w:r>
        <w:rPr>
          <w:rFonts w:ascii="Calibri" w:cs="Calibri" w:eastAsia="Calibri" w:hAnsi="Calibri"/>
          <w:color w:val="5C6678"/>
          <w:sz w:val="21"/>
          <w:szCs w:val="21"/>
        </w:rPr>
        <w:t xml:space="preserve">LabOS can show a number for "revenue today" the moment invoices are created — but that number only becomes trustworthy once it's reconciled against what was actually collected: cash physically counted, transfers matched to a real bank statement, Paystack settlements confirmed. The gap between what the system shows and what reconciliation confirms is exactly where billing errors, theft, and honest mistakes are caught — which is why reconciliation is treated in this module as a daily discipline, not an optional accounting nicety.</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E8F3FE"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Treat a bank transfer marked "Awaiting confirmation" as genuinely unconfirmed until an accountant matches it against the real bank statement — never as good as cash in hand.</w:t>
            </w:r>
          </w:p>
          <w:p>
            <w:pPr>
              <w:pStyle w:val="ListParagraph"/>
              <w:numPr>
                <w:ilvl w:val="0"/>
                <w:numId w:val="3"/>
              </w:numPr>
              <w:spacing w:after="70"/>
            </w:pPr>
            <w:r>
              <w:rPr>
                <w:rFonts w:ascii="Calibri" w:cs="Calibri" w:eastAsia="Calibri" w:hAnsi="Calibri"/>
                <w:color w:val="5C6678"/>
                <w:sz w:val="20"/>
                <w:szCs w:val="20"/>
              </w:rPr>
              <w:t xml:space="preserve">Capture NHIS/HMO policy numbers and corporate sponsor details accurately at the point of registration (Module 2), since billing-stage errors here are expensive and slow to untangle later.</w:t>
            </w:r>
          </w:p>
          <w:p>
            <w:pPr>
              <w:pStyle w:val="ListParagraph"/>
              <w:numPr>
                <w:ilvl w:val="0"/>
                <w:numId w:val="3"/>
              </w:numPr>
              <w:spacing w:after="70"/>
            </w:pPr>
            <w:r>
              <w:rPr>
                <w:rFonts w:ascii="Calibri" w:cs="Calibri" w:eastAsia="Calibri" w:hAnsi="Calibri"/>
                <w:color w:val="5C6678"/>
                <w:sz w:val="20"/>
                <w:szCs w:val="20"/>
              </w:rPr>
              <w:t xml:space="preserve">Run end-of-day reconciliation every single day without exception, even on quiet days — the discipline matters more than any single day's variance size.</w:t>
            </w:r>
          </w:p>
          <w:p>
            <w:pPr>
              <w:pStyle w:val="ListParagraph"/>
              <w:numPr>
                <w:ilvl w:val="0"/>
                <w:numId w:val="3"/>
              </w:numPr>
              <w:spacing w:after="70"/>
            </w:pPr>
            <w:r>
              <w:rPr>
                <w:rFonts w:ascii="Calibri" w:cs="Calibri" w:eastAsia="Calibri" w:hAnsi="Calibri"/>
                <w:color w:val="5C6678"/>
                <w:sz w:val="20"/>
                <w:szCs w:val="20"/>
              </w:rPr>
              <w:t xml:space="preserve">Review the Aged Receivables view on a regular cadence, not only when cash flow feels tight — early-stage debt is meaningfully more recoverable than 90-day-old debt.</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Treating a Paystack payment as settled the instant it shows as successful in LabOS, without understanding the T+1 settlement timing for cards.</w:t>
            </w:r>
          </w:p>
          <w:p>
            <w:pPr>
              <w:pStyle w:val="ListParagraph"/>
              <w:numPr>
                <w:ilvl w:val="0"/>
                <w:numId w:val="3"/>
              </w:numPr>
              <w:spacing w:after="70"/>
            </w:pPr>
            <w:r>
              <w:rPr>
                <w:rFonts w:ascii="Calibri" w:cs="Calibri" w:eastAsia="Calibri" w:hAnsi="Calibri"/>
                <w:color w:val="5C6678"/>
                <w:sz w:val="20"/>
                <w:szCs w:val="20"/>
              </w:rPr>
              <w:t xml:space="preserve">Submitting NHIS/HMO claims irregularly or in large infrequent batches rather than on a consistent weekly or daily cadence, which delays cash flow and complicates reconciliation.</w:t>
            </w:r>
          </w:p>
          <w:p>
            <w:pPr>
              <w:pStyle w:val="ListParagraph"/>
              <w:numPr>
                <w:ilvl w:val="0"/>
                <w:numId w:val="3"/>
              </w:numPr>
              <w:spacing w:after="70"/>
            </w:pPr>
            <w:r>
              <w:rPr>
                <w:rFonts w:ascii="Calibri" w:cs="Calibri" w:eastAsia="Calibri" w:hAnsi="Calibri"/>
                <w:color w:val="5C6678"/>
                <w:sz w:val="20"/>
                <w:szCs w:val="20"/>
              </w:rPr>
              <w:t xml:space="preserve">Issuing a cash refund for a payment that was originally made by Paystack, instead of processing the refund through Paystack's API back to the original card.</w:t>
            </w:r>
          </w:p>
          <w:p>
            <w:pPr>
              <w:pStyle w:val="ListParagraph"/>
              <w:numPr>
                <w:ilvl w:val="0"/>
                <w:numId w:val="3"/>
              </w:numPr>
              <w:spacing w:after="70"/>
            </w:pPr>
            <w:r>
              <w:rPr>
                <w:rFonts w:ascii="Calibri" w:cs="Calibri" w:eastAsia="Calibri" w:hAnsi="Calibri"/>
                <w:color w:val="5C6678"/>
                <w:sz w:val="20"/>
                <w:szCs w:val="20"/>
              </w:rPr>
              <w:t xml:space="preserve">Letting outstanding invoices age past 90 days before any reminder or review action is taken, when the automatic reminder cadence is designed to start at 7 days specifically because earlier intervention recovers more debt.</w:t>
            </w:r>
          </w:p>
        </w:tc>
      </w:tr>
    </w:tbl>
    <w:p>
      <w:r>
        <w:br w:type="page"/>
      </w:r>
    </w:p>
    <w:p>
      <w:pPr>
        <w:spacing w:after="60"/>
      </w:pPr>
      <w:r>
        <w:rPr>
          <w:rFonts w:ascii="Calibri" w:cs="Calibri" w:eastAsia="Calibri" w:hAnsi="Calibri"/>
          <w:b/>
          <w:bCs/>
          <w:color w:val="A8552E"/>
          <w:spacing w:val="14"/>
          <w:sz w:val="17"/>
          <w:szCs w:val="17"/>
        </w:rPr>
        <w:t xml:space="preserve">LESSON 5.1</w:t>
      </w:r>
    </w:p>
    <w:p>
      <w:pPr>
        <w:pStyle w:val="Heading1"/>
      </w:pPr>
      <w:r>
        <w:rPr>
          <w:rFonts w:ascii="Calibri" w:cs="Calibri" w:eastAsia="Calibri" w:hAnsi="Calibri"/>
        </w:rPr>
        <w:t xml:space="preserve">How Money Enters the System</w:t>
      </w:r>
    </w:p>
    <w:p>
      <w:pPr>
        <w:spacing w:after="200"/>
      </w:pPr>
      <w:r>
        <w:rPr>
          <w:rFonts w:ascii="Calibri" w:cs="Calibri" w:eastAsia="Calibri" w:hAnsi="Calibri"/>
          <w:color w:val="5C6678"/>
          <w:sz w:val="23"/>
          <w:szCs w:val="23"/>
        </w:rPr>
        <w:t xml:space="preserve">This lesson covers the three fundamentally different ways money reaches a Nigerian laboratory — instant digital payment, insurance claims processed over weeks, and physical cash or transfer handled in person — and what an administrator needs to understand about each.</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setting up and using Paystack for card and transfer payments, configuring NHIS and HMO insurance billing, and processing cash, bank transfer, and POS payments. By the end, a learner should be able to connect a Paystack account correctly, set up an insurance provider and track a claim through its full lifecycle, and process any in-person payment method with correct reconciliation discipline.</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meaningful share of Nigerian laboratory patients are not paying out of pocket at all — they are covered by NHIS or a private HMO, meaning the laboratory delivers the service today but isn't actually paid until a claim is submitted, reviewed, and settled, potentially weeks later. This creates a real cash-flow gap that an administrator must actively manage, not simply wait out. At the same time, self-pay patients increasingly expect instant digital payment options, which is why Paystack — rather than a patchwork of bank-specific solutions — exists as LabOS's single, PCI-DSS Level 1 certified payment backbone.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Connecting Paystack: live API keys, the ₦100 test-and-refund connection check, webhook URL configuration, and T+1 (cards) vs. same-day (transfers) settlement.</w:t>
      </w:r>
    </w:p>
    <w:p>
      <w:pPr>
        <w:pStyle w:val="ListParagraph"/>
        <w:numPr>
          <w:ilvl w:val="0"/>
          <w:numId w:val="3"/>
        </w:numPr>
        <w:spacing w:after="90"/>
      </w:pPr>
      <w:r>
        <w:rPr>
          <w:rFonts w:ascii="Calibri" w:cs="Calibri" w:eastAsia="Calibri" w:hAnsi="Calibri"/>
          <w:color w:val="5C6678"/>
          <w:sz w:val="21"/>
          <w:szCs w:val="21"/>
        </w:rPr>
        <w:t xml:space="preserve">Setting up insurance providers: NHIS code, contact email, claim submission method, settlement terms.</w:t>
      </w:r>
    </w:p>
    <w:p>
      <w:pPr>
        <w:pStyle w:val="ListParagraph"/>
        <w:numPr>
          <w:ilvl w:val="0"/>
          <w:numId w:val="3"/>
        </w:numPr>
        <w:spacing w:after="90"/>
      </w:pPr>
      <w:r>
        <w:rPr>
          <w:rFonts w:ascii="Calibri" w:cs="Calibri" w:eastAsia="Calibri" w:hAnsi="Calibri"/>
          <w:color w:val="5C6678"/>
          <w:sz w:val="21"/>
          <w:szCs w:val="21"/>
        </w:rPr>
        <w:t xml:space="preserve">Capturing insurance at registration: Payment method NHIS/HMO, policy number entry and validation.</w:t>
      </w:r>
    </w:p>
    <w:p>
      <w:pPr>
        <w:pStyle w:val="ListParagraph"/>
        <w:numPr>
          <w:ilvl w:val="0"/>
          <w:numId w:val="3"/>
        </w:numPr>
        <w:spacing w:after="90"/>
      </w:pPr>
      <w:r>
        <w:rPr>
          <w:rFonts w:ascii="Calibri" w:cs="Calibri" w:eastAsia="Calibri" w:hAnsi="Calibri"/>
          <w:color w:val="5C6678"/>
          <w:sz w:val="21"/>
          <w:szCs w:val="21"/>
        </w:rPr>
        <w:t xml:space="preserve">Submitting claims: weekly or daily batching from Billing → Claims, generating a PDF claim form and CSV manifest.</w:t>
      </w:r>
    </w:p>
    <w:p>
      <w:pPr>
        <w:pStyle w:val="ListParagraph"/>
        <w:numPr>
          <w:ilvl w:val="0"/>
          <w:numId w:val="3"/>
        </w:numPr>
        <w:spacing w:after="90"/>
      </w:pPr>
      <w:r>
        <w:rPr>
          <w:rFonts w:ascii="Calibri" w:cs="Calibri" w:eastAsia="Calibri" w:hAnsi="Calibri"/>
          <w:color w:val="5C6678"/>
          <w:sz w:val="21"/>
          <w:szCs w:val="21"/>
        </w:rPr>
        <w:t xml:space="preserve">The claim status lifecycle: Submitted → Acknowledged → Adjudicated → Paid, or Rejected with a reason code.</w:t>
      </w:r>
    </w:p>
    <w:p>
      <w:pPr>
        <w:pStyle w:val="ListParagraph"/>
        <w:numPr>
          <w:ilvl w:val="0"/>
          <w:numId w:val="3"/>
        </w:numPr>
        <w:spacing w:after="90"/>
      </w:pPr>
      <w:r>
        <w:rPr>
          <w:rFonts w:ascii="Calibri" w:cs="Calibri" w:eastAsia="Calibri" w:hAnsi="Calibri"/>
          <w:color w:val="5C6678"/>
          <w:sz w:val="21"/>
          <w:szCs w:val="21"/>
        </w:rPr>
        <w:t xml:space="preserve">Cash payments and till-drawer balance updates.</w:t>
      </w:r>
    </w:p>
    <w:p>
      <w:pPr>
        <w:pStyle w:val="ListParagraph"/>
        <w:numPr>
          <w:ilvl w:val="0"/>
          <w:numId w:val="3"/>
        </w:numPr>
        <w:spacing w:after="90"/>
      </w:pPr>
      <w:r>
        <w:rPr>
          <w:rFonts w:ascii="Calibri" w:cs="Calibri" w:eastAsia="Calibri" w:hAnsi="Calibri"/>
          <w:color w:val="5C6678"/>
          <w:sz w:val="21"/>
          <w:szCs w:val="21"/>
        </w:rPr>
        <w:t xml:space="preserve">Bank transfer: marking an invoice Awaiting confirmation and matching against bank statements.</w:t>
      </w:r>
    </w:p>
    <w:p>
      <w:pPr>
        <w:pStyle w:val="ListParagraph"/>
        <w:numPr>
          <w:ilvl w:val="0"/>
          <w:numId w:val="3"/>
        </w:numPr>
        <w:spacing w:after="90"/>
      </w:pPr>
      <w:r>
        <w:rPr>
          <w:rFonts w:ascii="Calibri" w:cs="Calibri" w:eastAsia="Calibri" w:hAnsi="Calibri"/>
          <w:color w:val="5C6678"/>
          <w:sz w:val="21"/>
          <w:szCs w:val="21"/>
        </w:rPr>
        <w:t xml:space="preserve">POS payments: Paystack-integrated terminals versus manual slip-reference recording.</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Connecting Paystack correctly</w:t>
      </w:r>
    </w:p>
    <w:p>
      <w:pPr>
        <w:spacing w:after="160"/>
      </w:pPr>
      <w:r>
        <w:rPr>
          <w:rFonts w:ascii="Calibri" w:cs="Calibri" w:eastAsia="Calibri" w:hAnsi="Calibri"/>
          <w:color w:val="5C6678"/>
          <w:sz w:val="21"/>
          <w:szCs w:val="21"/>
        </w:rPr>
        <w:t xml:space="preserve">Paystack is LabOS's sole provider for online card and bank transfer payments, chosen specifically for its PCI-DSS Level 1 certification, broad coverage of Nigerian cards and banks, and same-day settlement on direct transfers. Connecting it means creating or signing into a Paystack business account, copying the live secret and public keys from Settings → API Keys &amp; Webhooks, and pasting both into LabOS under Settings → Integrations → Paystack. Clicking Test connection triggers a real ₦100 charge that is immediately refunded — a genuine end-to-end test rather than a simulated one — and the webhook URL must be configured to point to your tenant's specific endpoint so LabOS is notified the moment a payment succeeds or fails. It's worth understanding the settlement schedule precisely: cards settle T+1 (the next business day), while direct bank transfers settle same-day — meaning a card payment showing as successful in LabOS today genuinely won't be in your bank account until tomorrow, a timing gap with real cash-flow planning implications.</w:t>
      </w:r>
    </w:p>
    <w:p>
      <w:pPr>
        <w:spacing w:after="100" w:before="220"/>
      </w:pPr>
      <w:r>
        <w:rPr>
          <w:rFonts w:ascii="Calibri" w:cs="Calibri" w:eastAsia="Calibri" w:hAnsi="Calibri"/>
          <w:b/>
          <w:bCs/>
          <w:color w:val="0E1F33"/>
          <w:sz w:val="20"/>
          <w:szCs w:val="20"/>
        </w:rPr>
        <w:t xml:space="preserve">Setting up insurance billing from the provider side</w:t>
      </w:r>
    </w:p>
    <w:p>
      <w:pPr>
        <w:spacing w:after="160"/>
      </w:pPr>
      <w:r>
        <w:rPr>
          <w:rFonts w:ascii="Calibri" w:cs="Calibri" w:eastAsia="Calibri" w:hAnsi="Calibri"/>
          <w:color w:val="5C6678"/>
          <w:sz w:val="21"/>
          <w:szCs w:val="21"/>
        </w:rPr>
        <w:t xml:space="preserve">Each NHIS-accredited HMO your laboratory accepts is added individually under Settings → Insurance providers, capturing its NHIS code, contact email, claim submission method (portal or email), and settlement terms — these details differ meaningfully between providers and drive how claims are actually submitted and chased later. At registration (Module 2), front-desk staff select Payment method: NHIS or Payment method: HMO, choose the specific provider, and enter the policy number; LabOS validates the format and, where the provider offers an API, flags expired or suspended policies immediately rather than only at claim submission, when it's far more disruptive to discover.</w:t>
      </w:r>
    </w:p>
    <w:p>
      <w:pPr>
        <w:spacing w:after="100" w:before="220"/>
      </w:pPr>
      <w:r>
        <w:rPr>
          <w:rFonts w:ascii="Calibri" w:cs="Calibri" w:eastAsia="Calibri" w:hAnsi="Calibri"/>
          <w:b/>
          <w:bCs/>
          <w:color w:val="0E1F33"/>
          <w:sz w:val="20"/>
          <w:szCs w:val="20"/>
        </w:rPr>
        <w:t xml:space="preserve">Submitting and tracking a claim through its full lifecycle</w:t>
      </w:r>
    </w:p>
    <w:p>
      <w:pPr>
        <w:spacing w:after="160"/>
      </w:pPr>
      <w:r>
        <w:rPr>
          <w:rFonts w:ascii="Calibri" w:cs="Calibri" w:eastAsia="Calibri" w:hAnsi="Calibri"/>
          <w:color w:val="5C6678"/>
          <w:sz w:val="21"/>
          <w:szCs w:val="21"/>
        </w:rPr>
        <w:t xml:space="preserve">Paid claims are bundled weekly or daily from Billing → Claims, with each batch generating both a PDF claim form for submission and a CSV manifest for internal tracking. Each individual claim then moves through a defined status lifecycle: Submitted, Acknowledged, Adjudicated, and finally Paid — or Rejected, with a specific reason code attached. Understanding this lifecycle as a sequence to actively monitor, not a black box to wait on, is the core administrative skill here: a claim stuck at Submitted for an unusually long time, or a pattern of Rejected claims with the same reason code, are both signals that warrant proactive follow-up rather than passive waiting.</w:t>
      </w:r>
    </w:p>
    <w:p>
      <w:pPr>
        <w:spacing w:after="100" w:before="220"/>
      </w:pPr>
      <w:r>
        <w:rPr>
          <w:rFonts w:ascii="Calibri" w:cs="Calibri" w:eastAsia="Calibri" w:hAnsi="Calibri"/>
          <w:b/>
          <w:bCs/>
          <w:color w:val="0E1F33"/>
          <w:sz w:val="20"/>
          <w:szCs w:val="20"/>
        </w:rPr>
        <w:t xml:space="preserve">Handling cash, transfer, and POS with appropriate rigor</w:t>
      </w:r>
    </w:p>
    <w:p>
      <w:pPr>
        <w:spacing w:after="160"/>
      </w:pPr>
      <w:r>
        <w:rPr>
          <w:rFonts w:ascii="Calibri" w:cs="Calibri" w:eastAsia="Calibri" w:hAnsi="Calibri"/>
          <w:color w:val="5C6678"/>
          <w:sz w:val="21"/>
          <w:szCs w:val="21"/>
        </w:rPr>
        <w:t xml:space="preserve">Cash payments are the most immediately trusted but also the most physically vulnerable to error: selecting Payment method: Cash and entering the amount received updates the till drawer balance in real time, and the end-of-day count against this expected total — covered fully in Lesson 5.3 — is where any discrepancy surfaces. Bank transfers are marked Awaiting confirmation with the transfer reference captured at the point of payment, but they are not treated as confirmed revenue until an accountant actually matches the reference against a real bank statement during end-of-day reconciliation — a deliberate gap between "claimed" and "confirmed" that protects against an unconfirmed or fraudulent transfer claim being treated as real money. POS payments through a Paystack-integrated terminal link automatically to the correct invoice; a non-integrated POS machine requires the slip reference to be recorded manually, which is why LabOS documentation explicitly recommends Paystack POS terminals specifically to remove this manual step and its associated error risk.</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Understand and plan around the T+1 card settlement gap rather than assuming Paystack revenue is available in your bank account the same day it appears successful in LabOS.</w:t>
      </w:r>
    </w:p>
    <w:p>
      <w:pPr>
        <w:pStyle w:val="ListParagraph"/>
        <w:numPr>
          <w:ilvl w:val="0"/>
          <w:numId w:val="3"/>
        </w:numPr>
        <w:spacing w:after="90"/>
      </w:pPr>
      <w:r>
        <w:rPr>
          <w:rFonts w:ascii="Calibri" w:cs="Calibri" w:eastAsia="Calibri" w:hAnsi="Calibri"/>
          <w:color w:val="5C6678"/>
          <w:sz w:val="21"/>
          <w:szCs w:val="21"/>
        </w:rPr>
        <w:t xml:space="preserve">Submit insurance claims on a consistent cadence (daily or weekly) rather than irregularly, since consistent submission timing makes both cash-flow forecasting and rejection follow-up far more manageable.</w:t>
      </w:r>
    </w:p>
    <w:p>
      <w:pPr>
        <w:pStyle w:val="ListParagraph"/>
        <w:numPr>
          <w:ilvl w:val="0"/>
          <w:numId w:val="3"/>
        </w:numPr>
        <w:spacing w:after="90"/>
      </w:pPr>
      <w:r>
        <w:rPr>
          <w:rFonts w:ascii="Calibri" w:cs="Calibri" w:eastAsia="Calibri" w:hAnsi="Calibri"/>
          <w:color w:val="5C6678"/>
          <w:sz w:val="21"/>
          <w:szCs w:val="21"/>
        </w:rPr>
        <w:t xml:space="preserve">Validate policy numbers and provider selection carefully at registration — an error here surfaces far more expensively at claim submission, weeks later.</w:t>
      </w:r>
    </w:p>
    <w:p>
      <w:pPr>
        <w:pStyle w:val="ListParagraph"/>
        <w:numPr>
          <w:ilvl w:val="0"/>
          <w:numId w:val="3"/>
        </w:numPr>
        <w:spacing w:after="90"/>
      </w:pPr>
      <w:r>
        <w:rPr>
          <w:rFonts w:ascii="Calibri" w:cs="Calibri" w:eastAsia="Calibri" w:hAnsi="Calibri"/>
          <w:color w:val="5C6678"/>
          <w:sz w:val="21"/>
          <w:szCs w:val="21"/>
        </w:rPr>
        <w:t xml:space="preserve">Treat "Awaiting confirmation" bank transfers as genuinely unconfirmed until matched against a real bank statement, regardless of how confident the patient sounds about having sent it.</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Assuming a successful Paystack card charge in LabOS means the funds are already in the laboratory's bank account.</w:t>
      </w:r>
    </w:p>
    <w:p>
      <w:pPr>
        <w:pStyle w:val="ListParagraph"/>
        <w:numPr>
          <w:ilvl w:val="0"/>
          <w:numId w:val="3"/>
        </w:numPr>
        <w:spacing w:after="90"/>
      </w:pPr>
      <w:r>
        <w:rPr>
          <w:rFonts w:ascii="Calibri" w:cs="Calibri" w:eastAsia="Calibri" w:hAnsi="Calibri"/>
          <w:color w:val="5C6678"/>
          <w:sz w:val="21"/>
          <w:szCs w:val="21"/>
        </w:rPr>
        <w:t xml:space="preserve">Batching NHIS/HMO claims irregularly, leading to unpredictable cash flow and a backlog that's harder to investigate when rejections occur.</w:t>
      </w:r>
    </w:p>
    <w:p>
      <w:pPr>
        <w:pStyle w:val="ListParagraph"/>
        <w:numPr>
          <w:ilvl w:val="0"/>
          <w:numId w:val="3"/>
        </w:numPr>
        <w:spacing w:after="90"/>
      </w:pPr>
      <w:r>
        <w:rPr>
          <w:rFonts w:ascii="Calibri" w:cs="Calibri" w:eastAsia="Calibri" w:hAnsi="Calibri"/>
          <w:color w:val="5C6678"/>
          <w:sz w:val="21"/>
          <w:szCs w:val="21"/>
        </w:rPr>
        <w:t xml:space="preserve">Failing to validate an HMO policy number or selecting the wrong provider at registration, only discovering the error when a claim is rejected weeks later.</w:t>
      </w:r>
    </w:p>
    <w:p>
      <w:pPr>
        <w:pStyle w:val="ListParagraph"/>
        <w:numPr>
          <w:ilvl w:val="0"/>
          <w:numId w:val="3"/>
        </w:numPr>
        <w:spacing w:after="90"/>
      </w:pPr>
      <w:r>
        <w:rPr>
          <w:rFonts w:ascii="Calibri" w:cs="Calibri" w:eastAsia="Calibri" w:hAnsi="Calibri"/>
          <w:color w:val="5C6678"/>
          <w:sz w:val="21"/>
          <w:szCs w:val="21"/>
        </w:rPr>
        <w:t xml:space="preserve">Treating a patient's verbal confirmation of a bank transfer as equivalent to a reconciled, bank-statement-matched payment.</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5.1 — PROCESS THREE PAYMENT TYPES</w:t>
            </w:r>
          </w:p>
          <w:p>
            <w:r>
              <w:rPr>
                <w:rFonts w:ascii="Calibri" w:cs="Calibri" w:eastAsia="Calibri" w:hAnsi="Calibri"/>
                <w:i/>
                <w:iCs/>
                <w:color w:val="0E1F33"/>
                <w:sz w:val="21"/>
                <w:szCs w:val="21"/>
              </w:rPr>
              <w:t xml:space="preserve">In a sandbox LabOS environment, connect a test Paystack account (using Paystack's published test card numbers) and run the ₦100 test-and-refund connection check, noting the settlement timing you would expect for a real card payment. Set up one sandbox NHIS or HMO provider with its NHIS code and settlement terms, register a sandbox patient using that provider, and submit a test claim — record which stage of the Submitted → Acknowledged → Adjudicated → Paid lifecycle it currently sits at. Finally, process one cash payment and one bank-transfer payment for two different sandbox invoices, and write one sentence explaining specifically why the transfer is not yet "confirmed" revenue in the same way the cash payment is.</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Paystack card payment shows as successful in LabOS at 4pm on a Monday. When should the laboratory expect the funds in its bank account?</w:t>
      </w:r>
    </w:p>
    <w:p>
      <w:pPr>
        <w:spacing w:after="60"/>
      </w:pPr>
      <w:r>
        <w:rPr>
          <w:rFonts w:ascii="Calibri" w:cs="Calibri" w:eastAsia="Calibri" w:hAnsi="Calibri"/>
          <w:color w:val="5C6678"/>
          <w:sz w:val="20"/>
          <w:szCs w:val="20"/>
        </w:rPr>
        <w:t xml:space="preserve">Tuesday — Paystack settles card payments on a T+1 (next business day) schedule, unlike direct bank transfers, which settle same-day.</w:t>
      </w:r>
    </w:p>
    <w:p>
      <w:pPr>
        <w:spacing w:after="50" w:before="140"/>
      </w:pPr>
      <w:r>
        <w:rPr>
          <w:rFonts w:ascii="Calibri" w:cs="Calibri" w:eastAsia="Calibri" w:hAnsi="Calibri"/>
          <w:b/>
          <w:bCs/>
          <w:color w:val="0E1F33"/>
          <w:sz w:val="21"/>
          <w:szCs w:val="21"/>
        </w:rPr>
        <w:t xml:space="preserve">2. Why does LabOS validate an HMO policy number's format and flag expired or suspended policies at registration rather than waiting until claim submission?</w:t>
      </w:r>
    </w:p>
    <w:p>
      <w:pPr>
        <w:spacing w:after="60"/>
      </w:pPr>
      <w:r>
        <w:rPr>
          <w:rFonts w:ascii="Calibri" w:cs="Calibri" w:eastAsia="Calibri" w:hAnsi="Calibri"/>
          <w:color w:val="5C6678"/>
          <w:sz w:val="20"/>
          <w:szCs w:val="20"/>
        </w:rPr>
        <w:t xml:space="preserve">Because discovering an invalid or expired policy at registration is a minor, immediately correctable issue, while discovering the same problem only at claim submission — potentially weeks after the service was delivered — is far more disruptive and may result in a rejected claim that's harder to resolve retroactively.</w:t>
      </w:r>
    </w:p>
    <w:p>
      <w:pPr>
        <w:spacing w:after="50" w:before="140"/>
      </w:pPr>
      <w:r>
        <w:rPr>
          <w:rFonts w:ascii="Calibri" w:cs="Calibri" w:eastAsia="Calibri" w:hAnsi="Calibri"/>
          <w:b/>
          <w:bCs/>
          <w:color w:val="0E1F33"/>
          <w:sz w:val="21"/>
          <w:szCs w:val="21"/>
        </w:rPr>
        <w:t xml:space="preserve">3. Why is a bank transfer marked "Awaiting confirmation" rather than immediately treated as paid, the way a cash payment is?</w:t>
      </w:r>
    </w:p>
    <w:p>
      <w:pPr>
        <w:spacing w:after="60"/>
      </w:pPr>
      <w:r>
        <w:rPr>
          <w:rFonts w:ascii="Calibri" w:cs="Calibri" w:eastAsia="Calibri" w:hAnsi="Calibri"/>
          <w:color w:val="5C6678"/>
          <w:sz w:val="20"/>
          <w:szCs w:val="20"/>
        </w:rPr>
        <w:t xml:space="preserve">Because a transfer claim made by the patient at the point of service hasn't actually been verified against the laboratory's real bank account yet — only the end-of-day reconciliation match against the actual bank statement confirms the transfer genuinely arrived, protecting against an unconfirmed or false claim being treated as real, collected revenue.</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5.1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"How Money Enters the System" — CLA Module 5,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connect Paystack, set up an insurance provider and track a claim, and process cash/transfer/POS payments with correct confirmation discipline.</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10–12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segmented into digital / insurance / in-person payment types</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(0:00–0:40) — "Three completely different kinds of money are about to flow through your laboratory — let's make sure you understand all three."</w:t>
      </w:r>
    </w:p>
    <w:p>
      <w:pPr>
        <w:pStyle w:val="ListParagraph"/>
        <w:numPr>
          <w:ilvl w:val="0"/>
          <w:numId w:val="4"/>
        </w:numPr>
        <w:spacing w:after="90"/>
      </w:pPr>
      <w:r>
        <w:rPr>
          <w:rFonts w:ascii="Calibri" w:cs="Calibri" w:eastAsia="Calibri" w:hAnsi="Calibri"/>
          <w:color w:val="5C6678"/>
          <w:sz w:val="21"/>
          <w:szCs w:val="21"/>
        </w:rPr>
        <w:t xml:space="preserve">Paystack connection, live demo including the ₦100 test charge, settlement timing explained (0:40–3:00).</w:t>
      </w:r>
    </w:p>
    <w:p>
      <w:pPr>
        <w:pStyle w:val="ListParagraph"/>
        <w:numPr>
          <w:ilvl w:val="0"/>
          <w:numId w:val="4"/>
        </w:numPr>
        <w:spacing w:after="90"/>
      </w:pPr>
      <w:r>
        <w:rPr>
          <w:rFonts w:ascii="Calibri" w:cs="Calibri" w:eastAsia="Calibri" w:hAnsi="Calibri"/>
          <w:color w:val="5C6678"/>
          <w:sz w:val="21"/>
          <w:szCs w:val="21"/>
        </w:rPr>
        <w:t xml:space="preserve">Insurance provider setup and registration-time capture (3:00–5:00).</w:t>
      </w:r>
    </w:p>
    <w:p>
      <w:pPr>
        <w:pStyle w:val="ListParagraph"/>
        <w:numPr>
          <w:ilvl w:val="0"/>
          <w:numId w:val="4"/>
        </w:numPr>
        <w:spacing w:after="90"/>
      </w:pPr>
      <w:r>
        <w:rPr>
          <w:rFonts w:ascii="Calibri" w:cs="Calibri" w:eastAsia="Calibri" w:hAnsi="Calibri"/>
          <w:color w:val="5C6678"/>
          <w:sz w:val="21"/>
          <w:szCs w:val="21"/>
        </w:rPr>
        <w:t xml:space="preserve">Claim submission and the four-stage lifecycle, shown as a tracked example (5:00–7:00).</w:t>
      </w:r>
    </w:p>
    <w:p>
      <w:pPr>
        <w:pStyle w:val="ListParagraph"/>
        <w:numPr>
          <w:ilvl w:val="0"/>
          <w:numId w:val="4"/>
        </w:numPr>
        <w:spacing w:after="90"/>
      </w:pPr>
      <w:r>
        <w:rPr>
          <w:rFonts w:ascii="Calibri" w:cs="Calibri" w:eastAsia="Calibri" w:hAnsi="Calibri"/>
          <w:color w:val="5C6678"/>
          <w:sz w:val="21"/>
          <w:szCs w:val="21"/>
        </w:rPr>
        <w:t xml:space="preserve">Cash, transfer, and POS processing, with the confirmed-vs-claimed distinction emphasised (7:00–9:30).</w:t>
      </w:r>
    </w:p>
    <w:p>
      <w:pPr>
        <w:pStyle w:val="ListParagraph"/>
        <w:numPr>
          <w:ilvl w:val="0"/>
          <w:numId w:val="4"/>
        </w:numPr>
        <w:spacing w:after="90"/>
      </w:pPr>
      <w:r>
        <w:rPr>
          <w:rFonts w:ascii="Calibri" w:cs="Calibri" w:eastAsia="Calibri" w:hAnsi="Calibri"/>
          <w:color w:val="5C6678"/>
          <w:sz w:val="21"/>
          <w:szCs w:val="21"/>
        </w:rPr>
        <w:t xml:space="preserve">Close + transition to Lesson 5.2 (9:30–end).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At the Paystack test charge, narrate it as a real event: "That's a genuine ₦100 charge and refund happening right now — this isn't a simulation, it's proof the connection actually works end to end."</w:t>
      </w:r>
    </w:p>
    <w:p>
      <w:pPr>
        <w:pStyle w:val="ListParagraph"/>
        <w:numPr>
          <w:ilvl w:val="0"/>
          <w:numId w:val="3"/>
        </w:numPr>
        <w:spacing w:after="90"/>
      </w:pPr>
      <w:r>
        <w:rPr>
          <w:rFonts w:ascii="Calibri" w:cs="Calibri" w:eastAsia="Calibri" w:hAnsi="Calibri"/>
          <w:color w:val="5C6678"/>
          <w:sz w:val="21"/>
          <w:szCs w:val="21"/>
        </w:rPr>
        <w:t xml:space="preserve">When explaining T+1 settlement, use a concrete calendar reference: "A card payment today means money in your account tomorrow — plan your cash flow around that gap, not around today's number."</w:t>
      </w:r>
    </w:p>
    <w:p>
      <w:pPr>
        <w:pStyle w:val="ListParagraph"/>
        <w:numPr>
          <w:ilvl w:val="0"/>
          <w:numId w:val="3"/>
        </w:numPr>
        <w:spacing w:after="90"/>
      </w:pPr>
      <w:r>
        <w:rPr>
          <w:rFonts w:ascii="Calibri" w:cs="Calibri" w:eastAsia="Calibri" w:hAnsi="Calibri"/>
          <w:color w:val="5C6678"/>
          <w:sz w:val="21"/>
          <w:szCs w:val="21"/>
        </w:rPr>
        <w:t xml:space="preserve">At the claim lifecycle, track one example claim across all four stages explicitly: "Watch this same claim move from Submitted, to Acknowledged, to Adjudicated, to Paid."</w:t>
      </w:r>
    </w:p>
    <w:p>
      <w:pPr>
        <w:pStyle w:val="ListParagraph"/>
        <w:numPr>
          <w:ilvl w:val="0"/>
          <w:numId w:val="3"/>
        </w:numPr>
        <w:spacing w:after="90"/>
      </w:pPr>
      <w:r>
        <w:rPr>
          <w:rFonts w:ascii="Calibri" w:cs="Calibri" w:eastAsia="Calibri" w:hAnsi="Calibri"/>
          <w:color w:val="5C6678"/>
          <w:sz w:val="21"/>
          <w:szCs w:val="21"/>
        </w:rPr>
        <w:t xml:space="preserve">At the bank-transfer moment, be direct: "This says 'awaiting confirmation' for a reason — don't treat it as money in hand until reconciliation actually confirms it."</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Open Settings → Integrations → Paystack, paste sandbox keys, click Test connection, show the ₦100 charge-and-refund confirmation.</w:t>
      </w:r>
    </w:p>
    <w:p>
      <w:pPr>
        <w:pStyle w:val="ListParagraph"/>
        <w:numPr>
          <w:ilvl w:val="0"/>
          <w:numId w:val="5"/>
        </w:numPr>
        <w:spacing w:after="90"/>
      </w:pPr>
      <w:r>
        <w:rPr>
          <w:rFonts w:ascii="Calibri" w:cs="Calibri" w:eastAsia="Calibri" w:hAnsi="Calibri"/>
          <w:color w:val="5C6678"/>
          <w:sz w:val="21"/>
          <w:szCs w:val="21"/>
        </w:rPr>
        <w:t xml:space="preserve">Show the webhook URL field and explain its purpose briefly.</w:t>
      </w:r>
    </w:p>
    <w:p>
      <w:pPr>
        <w:pStyle w:val="ListParagraph"/>
        <w:numPr>
          <w:ilvl w:val="0"/>
          <w:numId w:val="5"/>
        </w:numPr>
        <w:spacing w:after="90"/>
      </w:pPr>
      <w:r>
        <w:rPr>
          <w:rFonts w:ascii="Calibri" w:cs="Calibri" w:eastAsia="Calibri" w:hAnsi="Calibri"/>
          <w:color w:val="5C6678"/>
          <w:sz w:val="21"/>
          <w:szCs w:val="21"/>
        </w:rPr>
        <w:t xml:space="preserve">Open Settings → Insurance providers, add one sandbox HMO with NHIS code and settlement terms.</w:t>
      </w:r>
    </w:p>
    <w:p>
      <w:pPr>
        <w:pStyle w:val="ListParagraph"/>
        <w:numPr>
          <w:ilvl w:val="0"/>
          <w:numId w:val="5"/>
        </w:numPr>
        <w:spacing w:after="90"/>
      </w:pPr>
      <w:r>
        <w:rPr>
          <w:rFonts w:ascii="Calibri" w:cs="Calibri" w:eastAsia="Calibri" w:hAnsi="Calibri"/>
          <w:color w:val="5C6678"/>
          <w:sz w:val="21"/>
          <w:szCs w:val="21"/>
        </w:rPr>
        <w:t xml:space="preserve">Register a sandbox patient choosing Payment method: HMO, select the provider, enter a policy number.</w:t>
      </w:r>
    </w:p>
    <w:p>
      <w:pPr>
        <w:pStyle w:val="ListParagraph"/>
        <w:numPr>
          <w:ilvl w:val="0"/>
          <w:numId w:val="5"/>
        </w:numPr>
        <w:spacing w:after="90"/>
      </w:pPr>
      <w:r>
        <w:rPr>
          <w:rFonts w:ascii="Calibri" w:cs="Calibri" w:eastAsia="Calibri" w:hAnsi="Calibri"/>
          <w:color w:val="5C6678"/>
          <w:sz w:val="21"/>
          <w:szCs w:val="21"/>
        </w:rPr>
        <w:t xml:space="preserve">Open Billing → Claims, submit the claim, show its status, then simulate or describe its progression through Acknowledged → Adjudicated → Paid.</w:t>
      </w:r>
    </w:p>
    <w:p>
      <w:pPr>
        <w:pStyle w:val="ListParagraph"/>
        <w:numPr>
          <w:ilvl w:val="0"/>
          <w:numId w:val="5"/>
        </w:numPr>
        <w:spacing w:after="90"/>
      </w:pPr>
      <w:r>
        <w:rPr>
          <w:rFonts w:ascii="Calibri" w:cs="Calibri" w:eastAsia="Calibri" w:hAnsi="Calibri"/>
          <w:color w:val="5C6678"/>
          <w:sz w:val="21"/>
          <w:szCs w:val="21"/>
        </w:rPr>
        <w:t xml:space="preserve">Process a cash payment on one invoice, showing the till balance update.</w:t>
      </w:r>
    </w:p>
    <w:p>
      <w:pPr>
        <w:pStyle w:val="ListParagraph"/>
        <w:numPr>
          <w:ilvl w:val="0"/>
          <w:numId w:val="5"/>
        </w:numPr>
        <w:spacing w:after="90"/>
      </w:pPr>
      <w:r>
        <w:rPr>
          <w:rFonts w:ascii="Calibri" w:cs="Calibri" w:eastAsia="Calibri" w:hAnsi="Calibri"/>
          <w:color w:val="5C6678"/>
          <w:sz w:val="21"/>
          <w:szCs w:val="21"/>
        </w:rPr>
        <w:t xml:space="preserve">Process a bank transfer on a second invoice, showing the Awaiting confirmation state and reference capture.</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Paystack cards settle T+1; transfers settle same-day — plan cash flow accordingly.</w:t>
      </w:r>
    </w:p>
    <w:p>
      <w:pPr>
        <w:pStyle w:val="ListParagraph"/>
        <w:numPr>
          <w:ilvl w:val="0"/>
          <w:numId w:val="3"/>
        </w:numPr>
        <w:spacing w:after="90"/>
      </w:pPr>
      <w:r>
        <w:rPr>
          <w:rFonts w:ascii="Calibri" w:cs="Calibri" w:eastAsia="Calibri" w:hAnsi="Calibri"/>
          <w:color w:val="5C6678"/>
          <w:sz w:val="21"/>
          <w:szCs w:val="21"/>
        </w:rPr>
        <w:t xml:space="preserve">Insurance claims move through four tracked stages — monitor actively, don't wait passively.</w:t>
      </w:r>
    </w:p>
    <w:p>
      <w:pPr>
        <w:pStyle w:val="ListParagraph"/>
        <w:numPr>
          <w:ilvl w:val="0"/>
          <w:numId w:val="3"/>
        </w:numPr>
        <w:spacing w:after="90"/>
      </w:pPr>
      <w:r>
        <w:rPr>
          <w:rFonts w:ascii="Calibri" w:cs="Calibri" w:eastAsia="Calibri" w:hAnsi="Calibri"/>
          <w:color w:val="5C6678"/>
          <w:sz w:val="21"/>
          <w:szCs w:val="21"/>
        </w:rPr>
        <w:t xml:space="preserve">Cash updates the till instantly; transfers stay "unconfirmed" until matched to a real bank statement.</w:t>
      </w:r>
    </w:p>
    <w:p>
      <w:pPr>
        <w:pStyle w:val="ListParagraph"/>
        <w:numPr>
          <w:ilvl w:val="0"/>
          <w:numId w:val="3"/>
        </w:numPr>
        <w:spacing w:after="90"/>
      </w:pPr>
      <w:r>
        <w:rPr>
          <w:rFonts w:ascii="Calibri" w:cs="Calibri" w:eastAsia="Calibri" w:hAnsi="Calibri"/>
          <w:color w:val="5C6678"/>
          <w:sz w:val="21"/>
          <w:szCs w:val="21"/>
        </w:rPr>
        <w:t xml:space="preserve">Capture insurance details accurately at registration — errors here are expensive to fix later.</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Simple settlement-timing calendar graphic: "Card charged Monday → Settled Tuesday" vs. "Transfer sent Monday → Settled Monday".</w:t>
      </w:r>
    </w:p>
    <w:p>
      <w:pPr>
        <w:pStyle w:val="ListParagraph"/>
        <w:numPr>
          <w:ilvl w:val="0"/>
          <w:numId w:val="3"/>
        </w:numPr>
        <w:spacing w:after="90"/>
      </w:pPr>
      <w:r>
        <w:rPr>
          <w:rFonts w:ascii="Calibri" w:cs="Calibri" w:eastAsia="Calibri" w:hAnsi="Calibri"/>
          <w:color w:val="5C6678"/>
          <w:sz w:val="21"/>
          <w:szCs w:val="21"/>
        </w:rPr>
        <w:t xml:space="preserve">Four-stage claim lifecycle shown as a horizontal progress tracker, one example claim highlighted moving through it.</w:t>
      </w:r>
    </w:p>
    <w:p>
      <w:pPr>
        <w:pStyle w:val="ListParagraph"/>
        <w:numPr>
          <w:ilvl w:val="0"/>
          <w:numId w:val="3"/>
        </w:numPr>
        <w:spacing w:after="90"/>
      </w:pPr>
      <w:r>
        <w:rPr>
          <w:rFonts w:ascii="Calibri" w:cs="Calibri" w:eastAsia="Calibri" w:hAnsi="Calibri"/>
          <w:color w:val="5C6678"/>
          <w:sz w:val="21"/>
          <w:szCs w:val="21"/>
        </w:rPr>
        <w:t xml:space="preserve">Side-by-side "Confirmed" (cash, green) vs. "Awaiting Confirmation" (transfer, amber) visual treatment, reused in Lesson 5.3's reconciliation content.</w:t>
      </w:r>
    </w:p>
    <w:p>
      <w:r>
        <w:br w:type="page"/>
      </w:r>
    </w:p>
    <w:p>
      <w:pPr>
        <w:spacing w:after="60"/>
      </w:pPr>
      <w:r>
        <w:rPr>
          <w:rFonts w:ascii="Calibri" w:cs="Calibri" w:eastAsia="Calibri" w:hAnsi="Calibri"/>
          <w:b/>
          <w:bCs/>
          <w:color w:val="A8552E"/>
          <w:spacing w:val="14"/>
          <w:sz w:val="17"/>
          <w:szCs w:val="17"/>
        </w:rPr>
        <w:t xml:space="preserve">LESSON 5.2</w:t>
      </w:r>
    </w:p>
    <w:p>
      <w:pPr>
        <w:pStyle w:val="Heading1"/>
      </w:pPr>
      <w:r>
        <w:rPr>
          <w:rFonts w:ascii="Calibri" w:cs="Calibri" w:eastAsia="Calibri" w:hAnsi="Calibri"/>
        </w:rPr>
        <w:t xml:space="preserve">Adjustments and Special Billing Arrangements</w:t>
      </w:r>
    </w:p>
    <w:p>
      <w:pPr>
        <w:spacing w:after="200"/>
      </w:pPr>
      <w:r>
        <w:rPr>
          <w:rFonts w:ascii="Calibri" w:cs="Calibri" w:eastAsia="Calibri" w:hAnsi="Calibri"/>
          <w:color w:val="5C6678"/>
          <w:sz w:val="23"/>
          <w:szCs w:val="23"/>
        </w:rPr>
        <w:t xml:space="preserve">Not every patient interaction is a single, simple invoice paid once in full. This lesson covers the routine exceptions — refunds, discounts, corporate accounts, and payment plans — that a competent billing administrator handles confidently, not nervously.</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issuing refunds correctly by original payment method, configuring discount codes, setting up and managing corporate billing accounts, and converting eligible invoices to payment plans. By the end, a learner should be able to handle each of these routine billing variations correctly and explain the business reasoning behind LabOS's specific rules for each.</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laboratory that can only process a single, simple, full-payment invoice will struggle commercially in the Nigerian market. Corporate pre-employment and wellness packages are a significant, predictable revenue stream for many laboratories — billed monthly to an employer rather than collected from each individual employee at point of service. Expensive genetic and specialty tests genuinely benefit from payment plans, since the alternative is often a patient simply forgoing a clinically important test entirely. Discount codes support real commercial relationships, from corporate contracts to staff benefits. None of these are rare exceptions — together, they represent a meaningful share of how a mature laboratory actually generates revenue.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Issuing refunds: full or partial, Paystack API refunds (5–7 business days to the card) versus cash disbursement.</w:t>
      </w:r>
    </w:p>
    <w:p>
      <w:pPr>
        <w:pStyle w:val="ListParagraph"/>
        <w:numPr>
          <w:ilvl w:val="0"/>
          <w:numId w:val="3"/>
        </w:numPr>
        <w:spacing w:after="90"/>
      </w:pPr>
      <w:r>
        <w:rPr>
          <w:rFonts w:ascii="Calibri" w:cs="Calibri" w:eastAsia="Calibri" w:hAnsi="Calibri"/>
          <w:color w:val="5C6678"/>
          <w:sz w:val="21"/>
          <w:szCs w:val="21"/>
        </w:rPr>
        <w:t xml:space="preserve">Discount codes: percentage or fixed amount, test-specific restriction, time-limited or unlimited, single-use or multi-use.</w:t>
      </w:r>
    </w:p>
    <w:p>
      <w:pPr>
        <w:pStyle w:val="ListParagraph"/>
        <w:numPr>
          <w:ilvl w:val="0"/>
          <w:numId w:val="3"/>
        </w:numPr>
        <w:spacing w:after="90"/>
      </w:pPr>
      <w:r>
        <w:rPr>
          <w:rFonts w:ascii="Calibri" w:cs="Calibri" w:eastAsia="Calibri" w:hAnsi="Calibri"/>
          <w:color w:val="5C6678"/>
          <w:sz w:val="21"/>
          <w:szCs w:val="21"/>
        </w:rPr>
        <w:t xml:space="preserve">Corporate billing accounts: legal name, TIN, billing contact, credit limit, payment terms (typically Net 30), agreed price list overrides.</w:t>
      </w:r>
    </w:p>
    <w:p>
      <w:pPr>
        <w:pStyle w:val="ListParagraph"/>
        <w:numPr>
          <w:ilvl w:val="0"/>
          <w:numId w:val="3"/>
        </w:numPr>
        <w:spacing w:after="90"/>
      </w:pPr>
      <w:r>
        <w:rPr>
          <w:rFonts w:ascii="Calibri" w:cs="Calibri" w:eastAsia="Calibri" w:hAnsi="Calibri"/>
          <w:color w:val="5C6678"/>
          <w:sz w:val="21"/>
          <w:szCs w:val="21"/>
        </w:rPr>
        <w:t xml:space="preserve">Monthly consolidated corporate invoicing, generated automatically on the 1st and tracked through Submitted → Acknowledged → Paid.</w:t>
      </w:r>
    </w:p>
    <w:p>
      <w:pPr>
        <w:pStyle w:val="ListParagraph"/>
        <w:numPr>
          <w:ilvl w:val="0"/>
          <w:numId w:val="3"/>
        </w:numPr>
        <w:spacing w:after="90"/>
      </w:pPr>
      <w:r>
        <w:rPr>
          <w:rFonts w:ascii="Calibri" w:cs="Calibri" w:eastAsia="Calibri" w:hAnsi="Calibri"/>
          <w:color w:val="5C6678"/>
          <w:sz w:val="21"/>
          <w:szCs w:val="21"/>
        </w:rPr>
        <w:t xml:space="preserve">Payment plans: eligibility (amounts ≥ ₦100,000), 2-month or 3-month splits, Paystack mandate-based instalment scheduling.</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Issuing a refund through the correct channel</w:t>
      </w:r>
    </w:p>
    <w:p>
      <w:pPr>
        <w:spacing w:after="160"/>
      </w:pPr>
      <w:r>
        <w:rPr>
          <w:rFonts w:ascii="Calibri" w:cs="Calibri" w:eastAsia="Calibri" w:hAnsi="Calibri"/>
          <w:color w:val="5C6678"/>
          <w:sz w:val="21"/>
          <w:szCs w:val="21"/>
        </w:rPr>
        <w:t xml:space="preserve">Refunds are issued from a paid invoice by clicking Refund and choosing full or partial. The critical detail is that the refund channel must match the original payment channel: for a Paystack payment, the refund is initiated via Paystack's API and reaches the patient's original card in 5 to 7 business days — there is no faster path, and setting accurate patient expectations about this timeline matters. For a cash payment, the cashier physically dispenses the cash and the system records the disbursement directly. Attempting to "shortcut" this — for example, giving cash back for what was originally a card payment — breaks the financial reconciliation trail and should never be done.</w:t>
      </w:r>
    </w:p>
    <w:p>
      <w:pPr>
        <w:spacing w:after="100" w:before="220"/>
      </w:pPr>
      <w:r>
        <w:rPr>
          <w:rFonts w:ascii="Calibri" w:cs="Calibri" w:eastAsia="Calibri" w:hAnsi="Calibri"/>
          <w:b/>
          <w:bCs/>
          <w:color w:val="0E1F33"/>
          <w:sz w:val="20"/>
          <w:szCs w:val="20"/>
        </w:rPr>
        <w:t xml:space="preserve">Configuring discount codes for their intended purpose</w:t>
      </w:r>
    </w:p>
    <w:p>
      <w:pPr>
        <w:spacing w:after="160"/>
      </w:pPr>
      <w:r>
        <w:rPr>
          <w:rFonts w:ascii="Calibri" w:cs="Calibri" w:eastAsia="Calibri" w:hAnsi="Calibri"/>
          <w:color w:val="5C6678"/>
          <w:sz w:val="21"/>
          <w:szCs w:val="21"/>
        </w:rPr>
        <w:t xml:space="preserve">Discount codes are created from Settings → Pricing → Discount codes, with real flexibility in how they're scoped: percentage off or a fixed amount off, restricted to specific tests only or applicable broadly, time-limited or open-ended, and single-use or unlimited. This flexibility exists because discount codes serve genuinely different purposes — a single-use, time-limited code for a specific promotional campaign is configured very differently from an unlimited, ongoing staff-discount code. Matching the configuration to the actual intended use, rather than defaulting to the broadest possible settings, is what keeps a laboratory's discount program controlled and auditable rather than becoming an unmanaged revenue leak.</w:t>
      </w:r>
    </w:p>
    <w:p>
      <w:pPr>
        <w:spacing w:after="100" w:before="220"/>
      </w:pPr>
      <w:r>
        <w:rPr>
          <w:rFonts w:ascii="Calibri" w:cs="Calibri" w:eastAsia="Calibri" w:hAnsi="Calibri"/>
          <w:b/>
          <w:bCs/>
          <w:color w:val="0E1F33"/>
          <w:sz w:val="20"/>
          <w:szCs w:val="20"/>
        </w:rPr>
        <w:t xml:space="preserve">Setting up and billing a corporate account</w:t>
      </w:r>
    </w:p>
    <w:p>
      <w:pPr>
        <w:spacing w:after="160"/>
      </w:pPr>
      <w:r>
        <w:rPr>
          <w:rFonts w:ascii="Calibri" w:cs="Calibri" w:eastAsia="Calibri" w:hAnsi="Calibri"/>
          <w:color w:val="5C6678"/>
          <w:sz w:val="21"/>
          <w:szCs w:val="21"/>
        </w:rPr>
        <w:t xml:space="preserve">For pre-employment medicals, executive health checks, and corporate wellness packages, the employer — not the individual patient — is billed, typically on Net 30 terms, rather than collecting payment at the point of service from each employee. Setting up a corporate account from Billing → Corporate accounts captures the company's legal name, TIN, billing contact, credit limit, payment terms, and an agreed price list that can override standard pricing for that specific account — reflecting that corporate contracts are frequently negotiated at volume-based rates different from individual patient pricing. On the 1st of each month, LabOS automatically generates a single consolidated invoice per corporate account, itemising every package booked that month, emails it automatically, and tracks it through the same Submitted → Acknowledged → Paid lifecycle introduced for insurance claims in Lesson 5.1 — meaning the monitoring discipline learned there applies directly here too.</w:t>
      </w:r>
    </w:p>
    <w:p>
      <w:pPr>
        <w:spacing w:after="100" w:before="220"/>
      </w:pPr>
      <w:r>
        <w:rPr>
          <w:rFonts w:ascii="Calibri" w:cs="Calibri" w:eastAsia="Calibri" w:hAnsi="Calibri"/>
          <w:b/>
          <w:bCs/>
          <w:color w:val="0E1F33"/>
          <w:sz w:val="20"/>
          <w:szCs w:val="20"/>
        </w:rPr>
        <w:t xml:space="preserve">Offering a payment plan responsibly</w:t>
      </w:r>
    </w:p>
    <w:p>
      <w:pPr>
        <w:spacing w:after="160"/>
      </w:pPr>
      <w:r>
        <w:rPr>
          <w:rFonts w:ascii="Calibri" w:cs="Calibri" w:eastAsia="Calibri" w:hAnsi="Calibri"/>
          <w:color w:val="5C6678"/>
          <w:sz w:val="21"/>
          <w:szCs w:val="21"/>
        </w:rPr>
        <w:t xml:space="preserve">For genuinely high-cost tests — BRCA testing, NIPT, hereditary cancer panels, premium wellness packages — LabOS supports payment plans of up to three months specifically on amounts of ₦100,000 or more, a threshold that exists to keep the feature targeted at situations where cost is a genuine access barrier, not a general convenience for any invoice size. Converting an invoice via Convert to payment plan offers a 2-month or 3-month split; LabOS then schedules the instalments and sends Paystack mandate links, which capture the patient's card details once and re-charge automatically on schedule without requiring re-entry for each instalment. Service can begin after the first instalment is paid, meaning the plan genuinely improves clinical access to an expensive test rather than requiring the full amount upfront.</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Always refund through the original payment channel — never substitute cash for what was originally a card payment, or vice versa.</w:t>
      </w:r>
    </w:p>
    <w:p>
      <w:pPr>
        <w:pStyle w:val="ListParagraph"/>
        <w:numPr>
          <w:ilvl w:val="0"/>
          <w:numId w:val="3"/>
        </w:numPr>
        <w:spacing w:after="90"/>
      </w:pPr>
      <w:r>
        <w:rPr>
          <w:rFonts w:ascii="Calibri" w:cs="Calibri" w:eastAsia="Calibri" w:hAnsi="Calibri"/>
          <w:color w:val="5C6678"/>
          <w:sz w:val="21"/>
          <w:szCs w:val="21"/>
        </w:rPr>
        <w:t xml:space="preserve">Scope each discount code deliberately to its actual intended purpose (campaign, staff benefit, corporate contract) rather than defaulting to broad, unlimited settings.</w:t>
      </w:r>
    </w:p>
    <w:p>
      <w:pPr>
        <w:pStyle w:val="ListParagraph"/>
        <w:numPr>
          <w:ilvl w:val="0"/>
          <w:numId w:val="3"/>
        </w:numPr>
        <w:spacing w:after="90"/>
      </w:pPr>
      <w:r>
        <w:rPr>
          <w:rFonts w:ascii="Calibri" w:cs="Calibri" w:eastAsia="Calibri" w:hAnsi="Calibri"/>
          <w:color w:val="5C6678"/>
          <w:sz w:val="21"/>
          <w:szCs w:val="21"/>
        </w:rPr>
        <w:t xml:space="preserve">Set corporate account credit limits realistically based on the company's actual expected monthly volume, reviewing periodically as the relationship grows.</w:t>
      </w:r>
    </w:p>
    <w:p>
      <w:pPr>
        <w:pStyle w:val="ListParagraph"/>
        <w:numPr>
          <w:ilvl w:val="0"/>
          <w:numId w:val="3"/>
        </w:numPr>
        <w:spacing w:after="90"/>
      </w:pPr>
      <w:r>
        <w:rPr>
          <w:rFonts w:ascii="Calibri" w:cs="Calibri" w:eastAsia="Calibri" w:hAnsi="Calibri"/>
          <w:color w:val="5C6678"/>
          <w:sz w:val="21"/>
          <w:szCs w:val="21"/>
        </w:rPr>
        <w:t xml:space="preserve">Offer payment plans proactively for genuinely eligible high-cost tests, since the alternative is often a patient declining a clinically important test entirely.</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Issuing a cash refund for an originally card-paid invoice, breaking the reconciliation trail between payment and refund.</w:t>
      </w:r>
    </w:p>
    <w:p>
      <w:pPr>
        <w:pStyle w:val="ListParagraph"/>
        <w:numPr>
          <w:ilvl w:val="0"/>
          <w:numId w:val="3"/>
        </w:numPr>
        <w:spacing w:after="90"/>
      </w:pPr>
      <w:r>
        <w:rPr>
          <w:rFonts w:ascii="Calibri" w:cs="Calibri" w:eastAsia="Calibri" w:hAnsi="Calibri"/>
          <w:color w:val="5C6678"/>
          <w:sz w:val="21"/>
          <w:szCs w:val="21"/>
        </w:rPr>
        <w:t xml:space="preserve">Creating an unlimited, non-time-limited discount code for what was meant to be a single promotional campaign, leading to unintended ongoing revenue loss.</w:t>
      </w:r>
    </w:p>
    <w:p>
      <w:pPr>
        <w:pStyle w:val="ListParagraph"/>
        <w:numPr>
          <w:ilvl w:val="0"/>
          <w:numId w:val="3"/>
        </w:numPr>
        <w:spacing w:after="90"/>
      </w:pPr>
      <w:r>
        <w:rPr>
          <w:rFonts w:ascii="Calibri" w:cs="Calibri" w:eastAsia="Calibri" w:hAnsi="Calibri"/>
          <w:color w:val="5C6678"/>
          <w:sz w:val="21"/>
          <w:szCs w:val="21"/>
        </w:rPr>
        <w:t xml:space="preserve">Setting a corporate account's credit limit without reference to its actual expected volume, leading to either unnecessary billing friction or excessive financial exposure.</w:t>
      </w:r>
    </w:p>
    <w:p>
      <w:pPr>
        <w:pStyle w:val="ListParagraph"/>
        <w:numPr>
          <w:ilvl w:val="0"/>
          <w:numId w:val="3"/>
        </w:numPr>
        <w:spacing w:after="90"/>
      </w:pPr>
      <w:r>
        <w:rPr>
          <w:rFonts w:ascii="Calibri" w:cs="Calibri" w:eastAsia="Calibri" w:hAnsi="Calibri"/>
          <w:color w:val="5C6678"/>
          <w:sz w:val="21"/>
          <w:szCs w:val="21"/>
        </w:rPr>
        <w:t xml:space="preserve">Attempting to offer a payment plan on a low-value invoice that doesn't meet the ₦100,000 threshold, or not offering one on an eligible high-cost test where a patient might genuinely benefit.</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5.2 — HANDLE THREE SPECIAL CASES</w:t>
            </w:r>
          </w:p>
          <w:p>
            <w:r>
              <w:rPr>
                <w:rFonts w:ascii="Calibri" w:cs="Calibri" w:eastAsia="Calibri" w:hAnsi="Calibri"/>
                <w:i/>
                <w:iCs/>
                <w:color w:val="0E1F33"/>
                <w:sz w:val="21"/>
                <w:szCs w:val="21"/>
              </w:rPr>
              <w:t xml:space="preserve">In a sandbox LabOS environment, issue a full refund on a sandbox Paystack-paid invoice and note the stated delivery timeline to the patient's card. Create one discount code scoped specifically (e.g., a 15% single-use code valid only for a named test category, expiring in 30 days), and explain in one sentence why each of those specific constraints was chosen. Set up one sandbox corporate account with a credit limit and Net 30 terms, book a package against it, and locate the resulting invoice in the corporate account's billing history. Finally, identify a sandbox test priced at or above ₦100,000, convert an invoice for it to a 3-month payment plan, and note the resulting instalment schedule.</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patient who paid by Paystack card requests a refund. Why can't the cashier simply hand them cash instead?</w:t>
      </w:r>
    </w:p>
    <w:p>
      <w:pPr>
        <w:spacing w:after="60"/>
      </w:pPr>
      <w:r>
        <w:rPr>
          <w:rFonts w:ascii="Calibri" w:cs="Calibri" w:eastAsia="Calibri" w:hAnsi="Calibri"/>
          <w:color w:val="5C6678"/>
          <w:sz w:val="20"/>
          <w:szCs w:val="20"/>
        </w:rPr>
        <w:t xml:space="preserve">Because the refund channel must match the original payment channel to keep the financial reconciliation trail intact — a Paystack payment must be refunded via Paystack's API back to the original card (taking 5–7 business days), not substituted with a cash disbursement that wasn't part of the original transaction record.</w:t>
      </w:r>
    </w:p>
    <w:p>
      <w:pPr>
        <w:spacing w:after="50" w:before="140"/>
      </w:pPr>
      <w:r>
        <w:rPr>
          <w:rFonts w:ascii="Calibri" w:cs="Calibri" w:eastAsia="Calibri" w:hAnsi="Calibri"/>
          <w:b/>
          <w:bCs/>
          <w:color w:val="0E1F33"/>
          <w:sz w:val="21"/>
          <w:szCs w:val="21"/>
        </w:rPr>
        <w:t xml:space="preserve">2. Why does LabOS restrict payment plans to amounts of ₦100,000 or more rather than allowing them on any invoice?</w:t>
      </w:r>
    </w:p>
    <w:p>
      <w:pPr>
        <w:spacing w:after="60"/>
      </w:pPr>
      <w:r>
        <w:rPr>
          <w:rFonts w:ascii="Calibri" w:cs="Calibri" w:eastAsia="Calibri" w:hAnsi="Calibri"/>
          <w:color w:val="5C6678"/>
          <w:sz w:val="20"/>
          <w:szCs w:val="20"/>
        </w:rPr>
        <w:t xml:space="preserve">Because the threshold keeps the feature targeted at situations where cost is a genuine barrier to a clinically important, high-value test — allowing payment plans on any invoice size would turn a deliberate access tool into an unnecessary general convenience with added administrative and collection complexity.</w:t>
      </w:r>
    </w:p>
    <w:p>
      <w:pPr>
        <w:spacing w:after="50" w:before="140"/>
      </w:pPr>
      <w:r>
        <w:rPr>
          <w:rFonts w:ascii="Calibri" w:cs="Calibri" w:eastAsia="Calibri" w:hAnsi="Calibri"/>
          <w:b/>
          <w:bCs/>
          <w:color w:val="0E1F33"/>
          <w:sz w:val="21"/>
          <w:szCs w:val="21"/>
        </w:rPr>
        <w:t xml:space="preserve">3. A corporate account's monthly consolidated invoice follows the same Submitted → Acknowledged → Paid tracking used for insurance claims. Why does this matter practically for an administrator?</w:t>
      </w:r>
    </w:p>
    <w:p>
      <w:pPr>
        <w:spacing w:after="60"/>
      </w:pPr>
      <w:r>
        <w:rPr>
          <w:rFonts w:ascii="Calibri" w:cs="Calibri" w:eastAsia="Calibri" w:hAnsi="Calibri"/>
          <w:color w:val="5C6678"/>
          <w:sz w:val="20"/>
          <w:szCs w:val="20"/>
        </w:rPr>
        <w:t xml:space="preserve">Because it means the same active-monitoring discipline learned for insurance claims in Lesson 5.1 applies directly to corporate billing — an administrator should watch for invoices stuck at Submitted or Acknowledged for an unusually long time and follow up proactively, rather than assuming a different, passive process applies to corporate accounts.</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5.2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"Adjustments and Special Billing Arrangements" — CLA Module 5,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issue correct refunds, configure scoped discount codes, set up a corporate account, and convert an eligible invoice to a payment plan.</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9–11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four short connected segments</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(0:00–0:35) — "Not every invoice is simple — here's how to handle the routine exceptions confidently."</w:t>
      </w:r>
    </w:p>
    <w:p>
      <w:pPr>
        <w:pStyle w:val="ListParagraph"/>
        <w:numPr>
          <w:ilvl w:val="0"/>
          <w:numId w:val="6"/>
        </w:numPr>
        <w:spacing w:after="90"/>
      </w:pPr>
      <w:r>
        <w:rPr>
          <w:rFonts w:ascii="Calibri" w:cs="Calibri" w:eastAsia="Calibri" w:hAnsi="Calibri"/>
          <w:color w:val="5C6678"/>
          <w:sz w:val="21"/>
          <w:szCs w:val="21"/>
        </w:rPr>
        <w:t xml:space="preserve">Refunds: Paystack vs. cash channel, live demo (0:35–2:30).</w:t>
      </w:r>
    </w:p>
    <w:p>
      <w:pPr>
        <w:pStyle w:val="ListParagraph"/>
        <w:numPr>
          <w:ilvl w:val="0"/>
          <w:numId w:val="6"/>
        </w:numPr>
        <w:spacing w:after="90"/>
      </w:pPr>
      <w:r>
        <w:rPr>
          <w:rFonts w:ascii="Calibri" w:cs="Calibri" w:eastAsia="Calibri" w:hAnsi="Calibri"/>
          <w:color w:val="5C6678"/>
          <w:sz w:val="21"/>
          <w:szCs w:val="21"/>
        </w:rPr>
        <w:t xml:space="preserve">Discount codes: configuring one scoped example, explaining each setting choice (2:30–4:15).</w:t>
      </w:r>
    </w:p>
    <w:p>
      <w:pPr>
        <w:pStyle w:val="ListParagraph"/>
        <w:numPr>
          <w:ilvl w:val="0"/>
          <w:numId w:val="6"/>
        </w:numPr>
        <w:spacing w:after="90"/>
      </w:pPr>
      <w:r>
        <w:rPr>
          <w:rFonts w:ascii="Calibri" w:cs="Calibri" w:eastAsia="Calibri" w:hAnsi="Calibri"/>
          <w:color w:val="5C6678"/>
          <w:sz w:val="21"/>
          <w:szCs w:val="21"/>
        </w:rPr>
        <w:t xml:space="preserve">Corporate accounts: setup and the monthly invoicing cycle (4:15–6:30).</w:t>
      </w:r>
    </w:p>
    <w:p>
      <w:pPr>
        <w:pStyle w:val="ListParagraph"/>
        <w:numPr>
          <w:ilvl w:val="0"/>
          <w:numId w:val="6"/>
        </w:numPr>
        <w:spacing w:after="90"/>
      </w:pPr>
      <w:r>
        <w:rPr>
          <w:rFonts w:ascii="Calibri" w:cs="Calibri" w:eastAsia="Calibri" w:hAnsi="Calibri"/>
          <w:color w:val="5C6678"/>
          <w:sz w:val="21"/>
          <w:szCs w:val="21"/>
        </w:rPr>
        <w:t xml:space="preserve">Payment plans: eligibility threshold and instalment demo (6:30–8:30).</w:t>
      </w:r>
    </w:p>
    <w:p>
      <w:pPr>
        <w:pStyle w:val="ListParagraph"/>
        <w:numPr>
          <w:ilvl w:val="0"/>
          <w:numId w:val="6"/>
        </w:numPr>
        <w:spacing w:after="90"/>
      </w:pPr>
      <w:r>
        <w:rPr>
          <w:rFonts w:ascii="Calibri" w:cs="Calibri" w:eastAsia="Calibri" w:hAnsi="Calibri"/>
          <w:color w:val="5C6678"/>
          <w:sz w:val="21"/>
          <w:szCs w:val="21"/>
        </w:rPr>
        <w:t xml:space="preserve">Close + transition to Lesson 5.3 (8:30–end).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At the refund channel moment, be explicit about the rule: "Whatever method they paid with, that's the method the refund goes back through — no exceptions, no shortcuts."</w:t>
      </w:r>
    </w:p>
    <w:p>
      <w:pPr>
        <w:pStyle w:val="ListParagraph"/>
        <w:numPr>
          <w:ilvl w:val="0"/>
          <w:numId w:val="3"/>
        </w:numPr>
        <w:spacing w:after="90"/>
      </w:pPr>
      <w:r>
        <w:rPr>
          <w:rFonts w:ascii="Calibri" w:cs="Calibri" w:eastAsia="Calibri" w:hAnsi="Calibri"/>
          <w:color w:val="5C6678"/>
          <w:sz w:val="21"/>
          <w:szCs w:val="21"/>
        </w:rPr>
        <w:t xml:space="preserve">While configuring the discount code, narrate each choice's reasoning: "Single-use, because this is one specific campaign — 30 days, because that's how long the promotion runs."</w:t>
      </w:r>
    </w:p>
    <w:p>
      <w:pPr>
        <w:pStyle w:val="ListParagraph"/>
        <w:numPr>
          <w:ilvl w:val="0"/>
          <w:numId w:val="3"/>
        </w:numPr>
        <w:spacing w:after="90"/>
      </w:pPr>
      <w:r>
        <w:rPr>
          <w:rFonts w:ascii="Calibri" w:cs="Calibri" w:eastAsia="Calibri" w:hAnsi="Calibri"/>
          <w:color w:val="5C6678"/>
          <w:sz w:val="21"/>
          <w:szCs w:val="21"/>
        </w:rPr>
        <w:t xml:space="preserve">At corporate billing, frame the business reality directly: "This might be one of your laboratory's biggest, steadiest revenue lines — treat the setup with that level of care."</w:t>
      </w:r>
    </w:p>
    <w:p>
      <w:pPr>
        <w:pStyle w:val="ListParagraph"/>
        <w:numPr>
          <w:ilvl w:val="0"/>
          <w:numId w:val="3"/>
        </w:numPr>
        <w:spacing w:after="90"/>
      </w:pPr>
      <w:r>
        <w:rPr>
          <w:rFonts w:ascii="Calibri" w:cs="Calibri" w:eastAsia="Calibri" w:hAnsi="Calibri"/>
          <w:color w:val="5C6678"/>
          <w:sz w:val="21"/>
          <w:szCs w:val="21"/>
        </w:rPr>
        <w:t xml:space="preserve">At payment plans, connect to patient impact: "This threshold exists so a patient facing a ₦150,000 genetic test isn't simply turned away."</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Open a paid sandbox invoice, click Refund, select full, show the Paystack refund initiation and stated timeline.</w:t>
      </w:r>
    </w:p>
    <w:p>
      <w:pPr>
        <w:pStyle w:val="ListParagraph"/>
        <w:numPr>
          <w:ilvl w:val="0"/>
          <w:numId w:val="7"/>
        </w:numPr>
        <w:spacing w:after="90"/>
      </w:pPr>
      <w:r>
        <w:rPr>
          <w:rFonts w:ascii="Calibri" w:cs="Calibri" w:eastAsia="Calibri" w:hAnsi="Calibri"/>
          <w:color w:val="5C6678"/>
          <w:sz w:val="21"/>
          <w:szCs w:val="21"/>
        </w:rPr>
        <w:t xml:space="preserve">Open Settings → Pricing → Discount codes, create one scoped code (percentage, single-use, test-specific, time-limited), narrating each field.</w:t>
      </w:r>
    </w:p>
    <w:p>
      <w:pPr>
        <w:pStyle w:val="ListParagraph"/>
        <w:numPr>
          <w:ilvl w:val="0"/>
          <w:numId w:val="7"/>
        </w:numPr>
        <w:spacing w:after="90"/>
      </w:pPr>
      <w:r>
        <w:rPr>
          <w:rFonts w:ascii="Calibri" w:cs="Calibri" w:eastAsia="Calibri" w:hAnsi="Calibri"/>
          <w:color w:val="5C6678"/>
          <w:sz w:val="21"/>
          <w:szCs w:val="21"/>
        </w:rPr>
        <w:t xml:space="preserve">Open Billing → Corporate accounts, add a sandbox company with credit limit and Net 30 terms, book one package against it.</w:t>
      </w:r>
    </w:p>
    <w:p>
      <w:pPr>
        <w:pStyle w:val="ListParagraph"/>
        <w:numPr>
          <w:ilvl w:val="0"/>
          <w:numId w:val="7"/>
        </w:numPr>
        <w:spacing w:after="90"/>
      </w:pPr>
      <w:r>
        <w:rPr>
          <w:rFonts w:ascii="Calibri" w:cs="Calibri" w:eastAsia="Calibri" w:hAnsi="Calibri"/>
          <w:color w:val="5C6678"/>
          <w:sz w:val="21"/>
          <w:szCs w:val="21"/>
        </w:rPr>
        <w:t xml:space="preserve">Advance to (or simulate) the 1st-of-month invoice generation, show the consolidated invoice.</w:t>
      </w:r>
    </w:p>
    <w:p>
      <w:pPr>
        <w:pStyle w:val="ListParagraph"/>
        <w:numPr>
          <w:ilvl w:val="0"/>
          <w:numId w:val="7"/>
        </w:numPr>
        <w:spacing w:after="90"/>
      </w:pPr>
      <w:r>
        <w:rPr>
          <w:rFonts w:ascii="Calibri" w:cs="Calibri" w:eastAsia="Calibri" w:hAnsi="Calibri"/>
          <w:color w:val="5C6678"/>
          <w:sz w:val="21"/>
          <w:szCs w:val="21"/>
        </w:rPr>
        <w:t xml:space="preserve">Open a sandbox invoice for a ≥₦100,000 test, click Convert to payment plan, select 3-month, show the resulting instalment schedule and mandate link.</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Refund through the original payment channel — always.</w:t>
      </w:r>
    </w:p>
    <w:p>
      <w:pPr>
        <w:pStyle w:val="ListParagraph"/>
        <w:numPr>
          <w:ilvl w:val="0"/>
          <w:numId w:val="3"/>
        </w:numPr>
        <w:spacing w:after="90"/>
      </w:pPr>
      <w:r>
        <w:rPr>
          <w:rFonts w:ascii="Calibri" w:cs="Calibri" w:eastAsia="Calibri" w:hAnsi="Calibri"/>
          <w:color w:val="5C6678"/>
          <w:sz w:val="21"/>
          <w:szCs w:val="21"/>
        </w:rPr>
        <w:t xml:space="preserve">Scope every discount code deliberately to its real purpose.</w:t>
      </w:r>
    </w:p>
    <w:p>
      <w:pPr>
        <w:pStyle w:val="ListParagraph"/>
        <w:numPr>
          <w:ilvl w:val="0"/>
          <w:numId w:val="3"/>
        </w:numPr>
        <w:spacing w:after="90"/>
      </w:pPr>
      <w:r>
        <w:rPr>
          <w:rFonts w:ascii="Calibri" w:cs="Calibri" w:eastAsia="Calibri" w:hAnsi="Calibri"/>
          <w:color w:val="5C6678"/>
          <w:sz w:val="21"/>
          <w:szCs w:val="21"/>
        </w:rPr>
        <w:t xml:space="preserve">Corporate accounts bill monthly, Net 30, with their own agreed pricing — and the same active claim-tracking discipline applies.</w:t>
      </w:r>
    </w:p>
    <w:p>
      <w:pPr>
        <w:pStyle w:val="ListParagraph"/>
        <w:numPr>
          <w:ilvl w:val="0"/>
          <w:numId w:val="3"/>
        </w:numPr>
        <w:spacing w:after="90"/>
      </w:pPr>
      <w:r>
        <w:rPr>
          <w:rFonts w:ascii="Calibri" w:cs="Calibri" w:eastAsia="Calibri" w:hAnsi="Calibri"/>
          <w:color w:val="5C6678"/>
          <w:sz w:val="21"/>
          <w:szCs w:val="21"/>
        </w:rPr>
        <w:t xml:space="preserve">Payment plans are for genuinely high-cost tests (≥₦100,000) — a real access tool, not a general convenience.</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Side-by-side refund flow: Paystack card icon → "5–7 business days" vs. Cash icon → "Immediate disbursement".</w:t>
      </w:r>
    </w:p>
    <w:p>
      <w:pPr>
        <w:pStyle w:val="ListParagraph"/>
        <w:numPr>
          <w:ilvl w:val="0"/>
          <w:numId w:val="3"/>
        </w:numPr>
        <w:spacing w:after="90"/>
      </w:pPr>
      <w:r>
        <w:rPr>
          <w:rFonts w:ascii="Calibri" w:cs="Calibri" w:eastAsia="Calibri" w:hAnsi="Calibri"/>
          <w:color w:val="5C6678"/>
          <w:sz w:val="21"/>
          <w:szCs w:val="21"/>
        </w:rPr>
        <w:t xml:space="preserve">Discount code configuration shown as a simple settings checklist being filled in field by field.</w:t>
      </w:r>
    </w:p>
    <w:p>
      <w:pPr>
        <w:pStyle w:val="ListParagraph"/>
        <w:numPr>
          <w:ilvl w:val="0"/>
          <w:numId w:val="3"/>
        </w:numPr>
        <w:spacing w:after="90"/>
      </w:pPr>
      <w:r>
        <w:rPr>
          <w:rFonts w:ascii="Calibri" w:cs="Calibri" w:eastAsia="Calibri" w:hAnsi="Calibri"/>
          <w:color w:val="5C6678"/>
          <w:sz w:val="21"/>
          <w:szCs w:val="21"/>
        </w:rPr>
        <w:t xml:space="preserve">Corporate billing monthly cycle shown as a simple calendar graphic: bookings throughout the month → single invoice on the 1st.</w:t>
      </w:r>
    </w:p>
    <w:p>
      <w:r>
        <w:br w:type="page"/>
      </w:r>
    </w:p>
    <w:p>
      <w:pPr>
        <w:spacing w:after="60"/>
      </w:pPr>
      <w:r>
        <w:rPr>
          <w:rFonts w:ascii="Calibri" w:cs="Calibri" w:eastAsia="Calibri" w:hAnsi="Calibri"/>
          <w:b/>
          <w:bCs/>
          <w:color w:val="A8552E"/>
          <w:spacing w:val="14"/>
          <w:sz w:val="17"/>
          <w:szCs w:val="17"/>
        </w:rPr>
        <w:t xml:space="preserve">LESSON 5.3</w:t>
      </w:r>
    </w:p>
    <w:p>
      <w:pPr>
        <w:pStyle w:val="Heading1"/>
      </w:pPr>
      <w:r>
        <w:rPr>
          <w:rFonts w:ascii="Calibri" w:cs="Calibri" w:eastAsia="Calibri" w:hAnsi="Calibri"/>
        </w:rPr>
        <w:t xml:space="preserve">Closing the Books: Reconciliation, Debt, and Compliance</w:t>
      </w:r>
    </w:p>
    <w:p>
      <w:pPr>
        <w:spacing w:after="200"/>
      </w:pPr>
      <w:r>
        <w:rPr>
          <w:rFonts w:ascii="Calibri" w:cs="Calibri" w:eastAsia="Calibri" w:hAnsi="Calibri"/>
          <w:color w:val="5C6678"/>
          <w:sz w:val="23"/>
          <w:szCs w:val="23"/>
        </w:rPr>
        <w:t xml:space="preserve">This final lesson covers the disciplines that turn a day of individual transactions into a trustworthy, auditable financial record — reconciliation, debt management, tax compliance, and handing clean data to an accountant.</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end-of-day reconciliation, managing aged receivables and patient debt, VAT-compliant tax invoicing, and exporting financial data for external accountants. By the end, a learner should be able to close out a day's billing activity correctly, assess and act on outstanding patient debt, understand how VAT is applied, and produce the exports an accountant needs without back-and-forth clarification.</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laboratory's books are only as trustworthy as its daily discipline in closing them. Every payment method covered in Lessons 5.1 and 5.2 — cash, transfer, Paystack, insurance claims, corporate invoices, payment plans — eventually needs to be reconciled into one coherent, defensible financial picture: what was actually collected, what remains outstanding, what's owed in tax, and what an external accountant needs to file correctly with FIRS. This lesson is where all of that comes together, and it's also where billing problems — theft, error, or simple oversight — are most reliably caught, precisely because reconciliation forces a comparison between what the system expects and what's actually true.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The end-of-day reconciliation flow: expected balance calculation, till counting, variance logging, cash bagging and deposit reference.</w:t>
      </w:r>
    </w:p>
    <w:p>
      <w:pPr>
        <w:pStyle w:val="ListParagraph"/>
        <w:numPr>
          <w:ilvl w:val="0"/>
          <w:numId w:val="3"/>
        </w:numPr>
        <w:spacing w:after="90"/>
      </w:pPr>
      <w:r>
        <w:rPr>
          <w:rFonts w:ascii="Calibri" w:cs="Calibri" w:eastAsia="Calibri" w:hAnsi="Calibri"/>
          <w:color w:val="5C6678"/>
          <w:sz w:val="21"/>
          <w:szCs w:val="21"/>
        </w:rPr>
        <w:t xml:space="preserve">The Daily Summary report: cash, Paystack, transfers, refunds, NHIS/HMO accruals, and variances rolled up.</w:t>
      </w:r>
    </w:p>
    <w:p>
      <w:pPr>
        <w:pStyle w:val="ListParagraph"/>
        <w:numPr>
          <w:ilvl w:val="0"/>
          <w:numId w:val="3"/>
        </w:numPr>
        <w:spacing w:after="90"/>
      </w:pPr>
      <w:r>
        <w:rPr>
          <w:rFonts w:ascii="Calibri" w:cs="Calibri" w:eastAsia="Calibri" w:hAnsi="Calibri"/>
          <w:color w:val="5C6678"/>
          <w:sz w:val="21"/>
          <w:szCs w:val="21"/>
        </w:rPr>
        <w:t xml:space="preserve">The Aged Receivables widget: current, 30, 60, and 90+ day buckets.</w:t>
      </w:r>
    </w:p>
    <w:p>
      <w:pPr>
        <w:pStyle w:val="ListParagraph"/>
        <w:numPr>
          <w:ilvl w:val="0"/>
          <w:numId w:val="3"/>
        </w:numPr>
        <w:spacing w:after="90"/>
      </w:pPr>
      <w:r>
        <w:rPr>
          <w:rFonts w:ascii="Calibri" w:cs="Calibri" w:eastAsia="Calibri" w:hAnsi="Calibri"/>
          <w:color w:val="5C6678"/>
          <w:sz w:val="21"/>
          <w:szCs w:val="21"/>
        </w:rPr>
        <w:t xml:space="preserve">The automatic reminder cadence: SMS at 7 days, SMS plus email at 14, escalating language at 30 and 60, manual review flag after 90.</w:t>
      </w:r>
    </w:p>
    <w:p>
      <w:pPr>
        <w:pStyle w:val="ListParagraph"/>
        <w:numPr>
          <w:ilvl w:val="0"/>
          <w:numId w:val="3"/>
        </w:numPr>
        <w:spacing w:after="90"/>
      </w:pPr>
      <w:r>
        <w:rPr>
          <w:rFonts w:ascii="Calibri" w:cs="Calibri" w:eastAsia="Calibri" w:hAnsi="Calibri"/>
          <w:color w:val="5C6678"/>
          <w:sz w:val="21"/>
          <w:szCs w:val="21"/>
        </w:rPr>
        <w:t xml:space="preserve">FIRS-compliant tax invoicing: TIN fields, VAT at 7.5% calculated per line, VAT-exemption tagging on medical services.</w:t>
      </w:r>
    </w:p>
    <w:p>
      <w:pPr>
        <w:pStyle w:val="ListParagraph"/>
        <w:numPr>
          <w:ilvl w:val="0"/>
          <w:numId w:val="3"/>
        </w:numPr>
        <w:spacing w:after="90"/>
      </w:pPr>
      <w:r>
        <w:rPr>
          <w:rFonts w:ascii="Calibri" w:cs="Calibri" w:eastAsia="Calibri" w:hAnsi="Calibri"/>
          <w:color w:val="5C6678"/>
          <w:sz w:val="21"/>
          <w:szCs w:val="21"/>
        </w:rPr>
        <w:t xml:space="preserve">Financial exports: Sales register, Receipt register, NHIS/HMO claims register, VAT return support, and a general ledger journal formatted for Sage, QuickBooks, or Xero.</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Running a correct end-of-day reconciliation</w:t>
      </w:r>
    </w:p>
    <w:p>
      <w:pPr>
        <w:spacing w:after="160"/>
      </w:pPr>
      <w:r>
        <w:rPr>
          <w:rFonts w:ascii="Calibri" w:cs="Calibri" w:eastAsia="Calibri" w:hAnsi="Calibri"/>
          <w:color w:val="5C6678"/>
          <w:sz w:val="21"/>
          <w:szCs w:val="21"/>
        </w:rPr>
        <w:t xml:space="preserve">At the end of a shift, the cashier clicks Reconcile till, and LabOS calculates the expected balance as opening balance plus cash receipts minus cash refunds — a figure derived entirely from the day's recorded transactions. The cashier then physically counts the till and enters the actual amount; any variance between expected and actual is logged with a specific reason — "miscount," "till short," or "overage" — rather than being silently absorbed or ignored. Cash is then bagged with a deposit slip, and the reference number is recorded in LabOS, closing the physical-to-digital loop. This entire process exists to surface discrepancies on the same day they occur, when the cause is still investigable, rather than weeks later when reconstruction becomes far harder.</w:t>
      </w:r>
    </w:p>
    <w:p>
      <w:pPr>
        <w:spacing w:after="100" w:before="220"/>
      </w:pPr>
      <w:r>
        <w:rPr>
          <w:rFonts w:ascii="Calibri" w:cs="Calibri" w:eastAsia="Calibri" w:hAnsi="Calibri"/>
          <w:b/>
          <w:bCs/>
          <w:color w:val="0E1F33"/>
          <w:sz w:val="20"/>
          <w:szCs w:val="20"/>
        </w:rPr>
        <w:t xml:space="preserve">Reading the Daily Summary as a management tool</w:t>
      </w:r>
    </w:p>
    <w:p>
      <w:pPr>
        <w:spacing w:after="160"/>
      </w:pPr>
      <w:r>
        <w:rPr>
          <w:rFonts w:ascii="Calibri" w:cs="Calibri" w:eastAsia="Calibri" w:hAnsi="Calibri"/>
          <w:color w:val="5C6678"/>
          <w:sz w:val="21"/>
          <w:szCs w:val="21"/>
        </w:rPr>
        <w:t xml:space="preserve">The Daily Summary report rolls every payment channel from Lessons 5.1 and 5.2 into one view: cash collected, Paystack collected, transfers received, refunds issued, NHIS/HMO accruals, and any variances — available as a PDF specifically for management review. An administrator should read this report not just to confirm a total revenue figure, but to look for patterns: a recurring variance on the same cashier's shifts, an unusual spike in refunds, or accruals that aren't converting to actual claim payments over time are all signals visible in this single rolled-up view that might be missed looking at any single payment channel in isolation.</w:t>
      </w:r>
    </w:p>
    <w:p>
      <w:pPr>
        <w:spacing w:after="100" w:before="220"/>
      </w:pPr>
      <w:r>
        <w:rPr>
          <w:rFonts w:ascii="Calibri" w:cs="Calibri" w:eastAsia="Calibri" w:hAnsi="Calibri"/>
          <w:b/>
          <w:bCs/>
          <w:color w:val="0E1F33"/>
          <w:sz w:val="20"/>
          <w:szCs w:val="20"/>
        </w:rPr>
        <w:t xml:space="preserve">Managing receivables before they become unrecoverable</w:t>
      </w:r>
    </w:p>
    <w:p>
      <w:pPr>
        <w:spacing w:after="160"/>
      </w:pPr>
      <w:r>
        <w:rPr>
          <w:rFonts w:ascii="Calibri" w:cs="Calibri" w:eastAsia="Calibri" w:hAnsi="Calibri"/>
          <w:color w:val="5C6678"/>
          <w:sz w:val="21"/>
          <w:szCs w:val="21"/>
        </w:rPr>
        <w:t xml:space="preserve">The Aged Receivables widget on the Billing dashboard buckets outstanding invoices into current, 30 days, 60 days, and 90-plus days — and this structure reflects a simple, well-established reality: the longer an invoice goes unpaid, the lower the likelihood it's ever recovered. This is precisely why LabOS's reminder cadence front-loads its effort: an SMS at 7 days, SMS plus email at 14 days, escalating language at 30 and 60 days, and a flag for manual human review after 90 days. An administrator who waits until an invoice is already 90 days old to take any action has missed the window where automated reminders were doing meaningful, low-cost recovery work, and is now relying on the much less reliable manual-review stage.</w:t>
      </w:r>
    </w:p>
    <w:p>
      <w:pPr>
        <w:spacing w:after="100" w:before="220"/>
      </w:pPr>
      <w:r>
        <w:rPr>
          <w:rFonts w:ascii="Calibri" w:cs="Calibri" w:eastAsia="Calibri" w:hAnsi="Calibri"/>
          <w:b/>
          <w:bCs/>
          <w:color w:val="0E1F33"/>
          <w:sz w:val="20"/>
          <w:szCs w:val="20"/>
        </w:rPr>
        <w:t xml:space="preserve">Applying VAT correctly</w:t>
      </w:r>
    </w:p>
    <w:p>
      <w:pPr>
        <w:spacing w:after="160"/>
      </w:pPr>
      <w:r>
        <w:rPr>
          <w:rFonts w:ascii="Calibri" w:cs="Calibri" w:eastAsia="Calibri" w:hAnsi="Calibri"/>
          <w:color w:val="5C6678"/>
          <w:sz w:val="21"/>
          <w:szCs w:val="21"/>
        </w:rPr>
        <w:t xml:space="preserve">For VAT-registered laboratories, LabOS issues FIRS-compliant tax invoices showing the laboratory's TIN, the patient's TIN if provided, VAT calculated per line at the current 7.5% rate, and a total inclusive of VAT. Medical services carry partial VAT exemption under Nigerian tax law, and the LabOS catalogue is pre-tagged with each test's VAT applicability — but this pre-tagging is a starting point, not a substitute for an administrator verifying VAT treatment with their own accountant for their specific operations, since tax treatment can have nuances particular to a given laboratory's structure or services that a general catalogue tag cannot fully capture.</w:t>
      </w:r>
    </w:p>
    <w:p>
      <w:pPr>
        <w:spacing w:after="100" w:before="220"/>
      </w:pPr>
      <w:r>
        <w:rPr>
          <w:rFonts w:ascii="Calibri" w:cs="Calibri" w:eastAsia="Calibri" w:hAnsi="Calibri"/>
          <w:b/>
          <w:bCs/>
          <w:color w:val="0E1F33"/>
          <w:sz w:val="20"/>
          <w:szCs w:val="20"/>
        </w:rPr>
        <w:t xml:space="preserve">Producing exports an accountant can actually use</w:t>
      </w:r>
    </w:p>
    <w:p>
      <w:pPr>
        <w:spacing w:after="160"/>
      </w:pPr>
      <w:r>
        <w:rPr>
          <w:rFonts w:ascii="Calibri" w:cs="Calibri" w:eastAsia="Calibri" w:hAnsi="Calibri"/>
          <w:color w:val="5C6678"/>
          <w:sz w:val="21"/>
          <w:szCs w:val="21"/>
        </w:rPr>
        <w:t xml:space="preserve">Billing → Exports generates five distinct outputs, each suited to a different accounting need: a Sales register listing every invoice in a date range; a Receipt register listing every payment received, broken down by method; an NHIS/HMO claims register tracking submitted claims and their current status; VAT return support, pre-formatted specifically for FIRS submission; and a general ledger journal of debits and credits formatted for direct import into Sage, QuickBooks, or Xero. Knowing which export answers which question — and producing it proactively rather than waiting for an accountant to request it manually — is what separates an administrator who genuinely supports the laboratory's financial operations from one who merely processes individual transactions.</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Perform end-of-day reconciliation every single day, logging any variance with its specific reason rather than rounding it away or ignoring small discrepancies.</w:t>
      </w:r>
    </w:p>
    <w:p>
      <w:pPr>
        <w:pStyle w:val="ListParagraph"/>
        <w:numPr>
          <w:ilvl w:val="0"/>
          <w:numId w:val="3"/>
        </w:numPr>
        <w:spacing w:after="90"/>
      </w:pPr>
      <w:r>
        <w:rPr>
          <w:rFonts w:ascii="Calibri" w:cs="Calibri" w:eastAsia="Calibri" w:hAnsi="Calibri"/>
          <w:color w:val="5C6678"/>
          <w:sz w:val="21"/>
          <w:szCs w:val="21"/>
        </w:rPr>
        <w:t xml:space="preserve">Review the Daily Summary for patterns across shifts and time, not just as a single day's total revenue confirmation.</w:t>
      </w:r>
    </w:p>
    <w:p>
      <w:pPr>
        <w:pStyle w:val="ListParagraph"/>
        <w:numPr>
          <w:ilvl w:val="0"/>
          <w:numId w:val="3"/>
        </w:numPr>
        <w:spacing w:after="90"/>
      </w:pPr>
      <w:r>
        <w:rPr>
          <w:rFonts w:ascii="Calibri" w:cs="Calibri" w:eastAsia="Calibri" w:hAnsi="Calibri"/>
          <w:color w:val="5C6678"/>
          <w:sz w:val="21"/>
          <w:szCs w:val="21"/>
        </w:rPr>
        <w:t xml:space="preserve">Act on receivables at the 7- and 14-day reminder stages proactively, rather than waiting until an invoice reaches the 90-day manual-review flag.</w:t>
      </w:r>
    </w:p>
    <w:p>
      <w:pPr>
        <w:pStyle w:val="ListParagraph"/>
        <w:numPr>
          <w:ilvl w:val="0"/>
          <w:numId w:val="3"/>
        </w:numPr>
        <w:spacing w:after="90"/>
      </w:pPr>
      <w:r>
        <w:rPr>
          <w:rFonts w:ascii="Calibri" w:cs="Calibri" w:eastAsia="Calibri" w:hAnsi="Calibri"/>
          <w:color w:val="5C6678"/>
          <w:sz w:val="21"/>
          <w:szCs w:val="21"/>
        </w:rPr>
        <w:t xml:space="preserve">Verify VAT treatment for your specific laboratory's services with a qualified accountant, treating the LabOS catalogue's VAT tagging as a starting point rather than a final authority.</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Allowing small till variances to go unlogged or unexplained, losing the same-day investigability that makes variance tracking valuable.</w:t>
      </w:r>
    </w:p>
    <w:p>
      <w:pPr>
        <w:pStyle w:val="ListParagraph"/>
        <w:numPr>
          <w:ilvl w:val="0"/>
          <w:numId w:val="3"/>
        </w:numPr>
        <w:spacing w:after="90"/>
      </w:pPr>
      <w:r>
        <w:rPr>
          <w:rFonts w:ascii="Calibri" w:cs="Calibri" w:eastAsia="Calibri" w:hAnsi="Calibri"/>
          <w:color w:val="5C6678"/>
          <w:sz w:val="21"/>
          <w:szCs w:val="21"/>
        </w:rPr>
        <w:t xml:space="preserve">Reading the Daily Summary only for its total figure, missing recurring patterns that point to a specific operational problem.</w:t>
      </w:r>
    </w:p>
    <w:p>
      <w:pPr>
        <w:pStyle w:val="ListParagraph"/>
        <w:numPr>
          <w:ilvl w:val="0"/>
          <w:numId w:val="3"/>
        </w:numPr>
        <w:spacing w:after="90"/>
      </w:pPr>
      <w:r>
        <w:rPr>
          <w:rFonts w:ascii="Calibri" w:cs="Calibri" w:eastAsia="Calibri" w:hAnsi="Calibri"/>
          <w:color w:val="5C6678"/>
          <w:sz w:val="21"/>
          <w:szCs w:val="21"/>
        </w:rPr>
        <w:t xml:space="preserve">Letting outstanding invoices reach 90 days before any human review, after the automated reminder cadence has already run its course with diminishing effect.</w:t>
      </w:r>
    </w:p>
    <w:p>
      <w:pPr>
        <w:pStyle w:val="ListParagraph"/>
        <w:numPr>
          <w:ilvl w:val="0"/>
          <w:numId w:val="3"/>
        </w:numPr>
        <w:spacing w:after="90"/>
      </w:pPr>
      <w:r>
        <w:rPr>
          <w:rFonts w:ascii="Calibri" w:cs="Calibri" w:eastAsia="Calibri" w:hAnsi="Calibri"/>
          <w:color w:val="5C6678"/>
          <w:sz w:val="21"/>
          <w:szCs w:val="21"/>
        </w:rPr>
        <w:t xml:space="preserve">Treating the LabOS catalogue's VAT-applicability tags as definitive without verifying them against the laboratory's actual accounting practice.</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5.3 — CLOSE A DAY'S BOOKS</w:t>
            </w:r>
          </w:p>
          <w:p>
            <w:r>
              <w:rPr>
                <w:rFonts w:ascii="Calibri" w:cs="Calibri" w:eastAsia="Calibri" w:hAnsi="Calibri"/>
                <w:i/>
                <w:iCs/>
                <w:color w:val="0E1F33"/>
                <w:sz w:val="21"/>
                <w:szCs w:val="21"/>
              </w:rPr>
              <w:t xml:space="preserve">In a sandbox LabOS environment, run a full end-of-day reconciliation: note the system's expected balance, enter a deliberately different "counted" amount, and log the resulting variance with an appropriate reason. Generate the Daily Summary report and identify each of its component figures. Open the Aged Receivables view, identify one invoice in each bucket (current, 30, 60, 90+ days) if your sandbox data allows, and write one sentence on what action you would take for the 60-day bucket specifically. Finally, generate one financial export of your choice (Sales register, Receipt register, or general ledger journal) and identify what a real accountant would use it for.</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LabOS require a specific reason ("miscount," "till short," "overage") when logging a reconciliation variance, rather than just recording the variance amount?</w:t>
      </w:r>
    </w:p>
    <w:p>
      <w:pPr>
        <w:spacing w:after="60"/>
      </w:pPr>
      <w:r>
        <w:rPr>
          <w:rFonts w:ascii="Calibri" w:cs="Calibri" w:eastAsia="Calibri" w:hAnsi="Calibri"/>
          <w:color w:val="5C6678"/>
          <w:sz w:val="20"/>
          <w:szCs w:val="20"/>
        </w:rPr>
        <w:t xml:space="preserve">Because a specific reason makes the variance investigable and meaningful for pattern detection — a recurring "till short" on one cashier's shifts versus an occasional "miscount" are very different signals, and that distinction is lost if only a raw number is recorded.</w:t>
      </w:r>
    </w:p>
    <w:p>
      <w:pPr>
        <w:spacing w:after="50" w:before="140"/>
      </w:pPr>
      <w:r>
        <w:rPr>
          <w:rFonts w:ascii="Calibri" w:cs="Calibri" w:eastAsia="Calibri" w:hAnsi="Calibri"/>
          <w:b/>
          <w:bCs/>
          <w:color w:val="0E1F33"/>
          <w:sz w:val="21"/>
          <w:szCs w:val="21"/>
        </w:rPr>
        <w:t xml:space="preserve">2. Why does LabOS's reminder cadence start as early as 7 days after an invoice becomes overdue, rather than waiting longer before the first contact?</w:t>
      </w:r>
    </w:p>
    <w:p>
      <w:pPr>
        <w:spacing w:after="60"/>
      </w:pPr>
      <w:r>
        <w:rPr>
          <w:rFonts w:ascii="Calibri" w:cs="Calibri" w:eastAsia="Calibri" w:hAnsi="Calibri"/>
          <w:color w:val="5C6678"/>
          <w:sz w:val="20"/>
          <w:szCs w:val="20"/>
        </w:rPr>
        <w:t xml:space="preserve">Because the likelihood of recovering an outstanding debt decreases the longer it goes unpaid, so early, low-cost automated reminders (SMS at 7 days) are deliberately front-loaded to recover debt while the odds of payment are still relatively high, rather than waiting until the invoice has already aged into the much less recoverable 60- or 90-day range.</w:t>
      </w:r>
    </w:p>
    <w:p>
      <w:pPr>
        <w:spacing w:after="50" w:before="140"/>
      </w:pPr>
      <w:r>
        <w:rPr>
          <w:rFonts w:ascii="Calibri" w:cs="Calibri" w:eastAsia="Calibri" w:hAnsi="Calibri"/>
          <w:b/>
          <w:bCs/>
          <w:color w:val="0E1F33"/>
          <w:sz w:val="21"/>
          <w:szCs w:val="21"/>
        </w:rPr>
        <w:t xml:space="preserve">3. An administrator wants to give their accountant everything needed to prepare a FIRS VAT return. Which export should they generate, and why not just send the raw invoice list?</w:t>
      </w:r>
    </w:p>
    <w:p>
      <w:pPr>
        <w:spacing w:after="60"/>
      </w:pPr>
      <w:r>
        <w:rPr>
          <w:rFonts w:ascii="Calibri" w:cs="Calibri" w:eastAsia="Calibri" w:hAnsi="Calibri"/>
          <w:color w:val="5C6678"/>
          <w:sz w:val="20"/>
          <w:szCs w:val="20"/>
        </w:rPr>
        <w:t xml:space="preserve">The VAT return support export, because it is pre-formatted specifically for FIRS submission — a raw invoice list would require the accountant to manually extract and reformat the VAT-relevant figures, which the dedicated export does correctly and consistently from the start.</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5.3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"Closing the Books: Reconciliation, Debt, and Compliance" — CLA Module 5,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perform end-of-day reconciliation, manage aged receivables proactively, understand VAT application, and produce correct financial exports.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10–12 minutes (final video in this module, closing out the billing foundation before Module 6)</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structured around a single simulated end-of-day close</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(0:00–0:40) — "Everything we've covered in this module funnels into this moment: closing the day's books correctly."</w:t>
      </w:r>
    </w:p>
    <w:p>
      <w:pPr>
        <w:pStyle w:val="ListParagraph"/>
        <w:numPr>
          <w:ilvl w:val="0"/>
          <w:numId w:val="8"/>
        </w:numPr>
        <w:spacing w:after="90"/>
      </w:pPr>
      <w:r>
        <w:rPr>
          <w:rFonts w:ascii="Calibri" w:cs="Calibri" w:eastAsia="Calibri" w:hAnsi="Calibri"/>
          <w:color w:val="5C6678"/>
          <w:sz w:val="21"/>
          <w:szCs w:val="21"/>
        </w:rPr>
        <w:t xml:space="preserve">End-of-day reconciliation, full live demo including a deliberate variance (0:40–3:00).</w:t>
      </w:r>
    </w:p>
    <w:p>
      <w:pPr>
        <w:pStyle w:val="ListParagraph"/>
        <w:numPr>
          <w:ilvl w:val="0"/>
          <w:numId w:val="8"/>
        </w:numPr>
        <w:spacing w:after="90"/>
      </w:pPr>
      <w:r>
        <w:rPr>
          <w:rFonts w:ascii="Calibri" w:cs="Calibri" w:eastAsia="Calibri" w:hAnsi="Calibri"/>
          <w:color w:val="5C6678"/>
          <w:sz w:val="21"/>
          <w:szCs w:val="21"/>
        </w:rPr>
        <w:t xml:space="preserve">Daily Summary report walkthrough, reading it for patterns not just totals (3:00–4:30).</w:t>
      </w:r>
    </w:p>
    <w:p>
      <w:pPr>
        <w:pStyle w:val="ListParagraph"/>
        <w:numPr>
          <w:ilvl w:val="0"/>
          <w:numId w:val="8"/>
        </w:numPr>
        <w:spacing w:after="90"/>
      </w:pPr>
      <w:r>
        <w:rPr>
          <w:rFonts w:ascii="Calibri" w:cs="Calibri" w:eastAsia="Calibri" w:hAnsi="Calibri"/>
          <w:color w:val="5C6678"/>
          <w:sz w:val="21"/>
          <w:szCs w:val="21"/>
        </w:rPr>
        <w:t xml:space="preserve">Aged Receivables and the reminder cadence, explained against the four buckets (4:30–6:30).</w:t>
      </w:r>
    </w:p>
    <w:p>
      <w:pPr>
        <w:pStyle w:val="ListParagraph"/>
        <w:numPr>
          <w:ilvl w:val="0"/>
          <w:numId w:val="8"/>
        </w:numPr>
        <w:spacing w:after="90"/>
      </w:pPr>
      <w:r>
        <w:rPr>
          <w:rFonts w:ascii="Calibri" w:cs="Calibri" w:eastAsia="Calibri" w:hAnsi="Calibri"/>
          <w:color w:val="5C6678"/>
          <w:sz w:val="21"/>
          <w:szCs w:val="21"/>
        </w:rPr>
        <w:t xml:space="preserve">VAT invoicing demo, briefly, with the verify-with-your-accountant caveat stated clearly (6:30–7:45).</w:t>
      </w:r>
    </w:p>
    <w:p>
      <w:pPr>
        <w:pStyle w:val="ListParagraph"/>
        <w:numPr>
          <w:ilvl w:val="0"/>
          <w:numId w:val="8"/>
        </w:numPr>
        <w:spacing w:after="90"/>
      </w:pPr>
      <w:r>
        <w:rPr>
          <w:rFonts w:ascii="Calibri" w:cs="Calibri" w:eastAsia="Calibri" w:hAnsi="Calibri"/>
          <w:color w:val="5C6678"/>
          <w:sz w:val="21"/>
          <w:szCs w:val="21"/>
        </w:rPr>
        <w:t xml:space="preserve">Financial exports: generating two or three, explaining what each is for (7:45–9:30).</w:t>
      </w:r>
    </w:p>
    <w:p>
      <w:pPr>
        <w:pStyle w:val="ListParagraph"/>
        <w:numPr>
          <w:ilvl w:val="0"/>
          <w:numId w:val="8"/>
        </w:numPr>
        <w:spacing w:after="90"/>
      </w:pPr>
      <w:r>
        <w:rPr>
          <w:rFonts w:ascii="Calibri" w:cs="Calibri" w:eastAsia="Calibri" w:hAnsi="Calibri"/>
          <w:color w:val="5C6678"/>
          <w:sz w:val="21"/>
          <w:szCs w:val="21"/>
        </w:rPr>
        <w:t xml:space="preserve">Close + Module 5 wrap-up, transition to Module 6 (9:30–end).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During the deliberate variance demo, narrate the value directly: "I'm entering a different number on purpose — watch what LabOS does with that gap, because this is exactly how real discrepancies get caught."</w:t>
      </w:r>
    </w:p>
    <w:p>
      <w:pPr>
        <w:pStyle w:val="ListParagraph"/>
        <w:numPr>
          <w:ilvl w:val="0"/>
          <w:numId w:val="3"/>
        </w:numPr>
        <w:spacing w:after="90"/>
      </w:pPr>
      <w:r>
        <w:rPr>
          <w:rFonts w:ascii="Calibri" w:cs="Calibri" w:eastAsia="Calibri" w:hAnsi="Calibri"/>
          <w:color w:val="5C6678"/>
          <w:sz w:val="21"/>
          <w:szCs w:val="21"/>
        </w:rPr>
        <w:t xml:space="preserve">At the Daily Summary, push past the total: "Don't just glance at the bottom line — look across a few days and ask whether anything here repeats."</w:t>
      </w:r>
    </w:p>
    <w:p>
      <w:pPr>
        <w:pStyle w:val="ListParagraph"/>
        <w:numPr>
          <w:ilvl w:val="0"/>
          <w:numId w:val="3"/>
        </w:numPr>
        <w:spacing w:after="90"/>
      </w:pPr>
      <w:r>
        <w:rPr>
          <w:rFonts w:ascii="Calibri" w:cs="Calibri" w:eastAsia="Calibri" w:hAnsi="Calibri"/>
          <w:color w:val="5C6678"/>
          <w:sz w:val="21"/>
          <w:szCs w:val="21"/>
        </w:rPr>
        <w:t xml:space="preserve">At the 90-day receivables bucket, be candid about the stakes: "By the time an invoice sits here, automated reminders have already done what they can — this needs a real, human decision."</w:t>
      </w:r>
    </w:p>
    <w:p>
      <w:pPr>
        <w:pStyle w:val="ListParagraph"/>
        <w:numPr>
          <w:ilvl w:val="0"/>
          <w:numId w:val="3"/>
        </w:numPr>
        <w:spacing w:after="90"/>
      </w:pPr>
      <w:r>
        <w:rPr>
          <w:rFonts w:ascii="Calibri" w:cs="Calibri" w:eastAsia="Calibri" w:hAnsi="Calibri"/>
          <w:color w:val="5C6678"/>
          <w:sz w:val="21"/>
          <w:szCs w:val="21"/>
        </w:rPr>
        <w:t xml:space="preserve">At VAT, be explicit about the limits of the tool: "LabOS gets you most of the way there — the final call on VAT treatment for your specific lab is still a conversation with your accountant."</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Click Reconcile till, show the calculated expected balance, enter a deliberately different counted amount, select a variance reason from the dropdown.</w:t>
      </w:r>
    </w:p>
    <w:p>
      <w:pPr>
        <w:pStyle w:val="ListParagraph"/>
        <w:numPr>
          <w:ilvl w:val="0"/>
          <w:numId w:val="9"/>
        </w:numPr>
        <w:spacing w:after="90"/>
      </w:pPr>
      <w:r>
        <w:rPr>
          <w:rFonts w:ascii="Calibri" w:cs="Calibri" w:eastAsia="Calibri" w:hAnsi="Calibri"/>
          <w:color w:val="5C6678"/>
          <w:sz w:val="21"/>
          <w:szCs w:val="21"/>
        </w:rPr>
        <w:t xml:space="preserve">Show the cash-bagging and deposit-reference entry step.</w:t>
      </w:r>
    </w:p>
    <w:p>
      <w:pPr>
        <w:pStyle w:val="ListParagraph"/>
        <w:numPr>
          <w:ilvl w:val="0"/>
          <w:numId w:val="9"/>
        </w:numPr>
        <w:spacing w:after="90"/>
      </w:pPr>
      <w:r>
        <w:rPr>
          <w:rFonts w:ascii="Calibri" w:cs="Calibri" w:eastAsia="Calibri" w:hAnsi="Calibri"/>
          <w:color w:val="5C6678"/>
          <w:sz w:val="21"/>
          <w:szCs w:val="21"/>
        </w:rPr>
        <w:t xml:space="preserve">Open and scroll through a generated Daily Summary PDF, pointing to each rolled-up figure.</w:t>
      </w:r>
    </w:p>
    <w:p>
      <w:pPr>
        <w:pStyle w:val="ListParagraph"/>
        <w:numPr>
          <w:ilvl w:val="0"/>
          <w:numId w:val="9"/>
        </w:numPr>
        <w:spacing w:after="90"/>
      </w:pPr>
      <w:r>
        <w:rPr>
          <w:rFonts w:ascii="Calibri" w:cs="Calibri" w:eastAsia="Calibri" w:hAnsi="Calibri"/>
          <w:color w:val="5C6678"/>
          <w:sz w:val="21"/>
          <w:szCs w:val="21"/>
        </w:rPr>
        <w:t xml:space="preserve">Open the Aged Receivables widget, point to one invoice in each of the four buckets.</w:t>
      </w:r>
    </w:p>
    <w:p>
      <w:pPr>
        <w:pStyle w:val="ListParagraph"/>
        <w:numPr>
          <w:ilvl w:val="0"/>
          <w:numId w:val="9"/>
        </w:numPr>
        <w:spacing w:after="90"/>
      </w:pPr>
      <w:r>
        <w:rPr>
          <w:rFonts w:ascii="Calibri" w:cs="Calibri" w:eastAsia="Calibri" w:hAnsi="Calibri"/>
          <w:color w:val="5C6678"/>
          <w:sz w:val="21"/>
          <w:szCs w:val="21"/>
        </w:rPr>
        <w:t xml:space="preserve">Open a VAT-applicable invoice, show the 7.5% calculation per line and the TIN fields.</w:t>
      </w:r>
    </w:p>
    <w:p>
      <w:pPr>
        <w:pStyle w:val="ListParagraph"/>
        <w:numPr>
          <w:ilvl w:val="0"/>
          <w:numId w:val="9"/>
        </w:numPr>
        <w:spacing w:after="90"/>
      </w:pPr>
      <w:r>
        <w:rPr>
          <w:rFonts w:ascii="Calibri" w:cs="Calibri" w:eastAsia="Calibri" w:hAnsi="Calibri"/>
          <w:color w:val="5C6678"/>
          <w:sz w:val="21"/>
          <w:szCs w:val="21"/>
        </w:rPr>
        <w:t xml:space="preserve">Open Billing → Exports, generate a Sales register and a general ledger journal, briefly showing the resulting file format for each.</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Reconcile every day, log every variance with a real reason — same-day investigability is the whole point.</w:t>
      </w:r>
    </w:p>
    <w:p>
      <w:pPr>
        <w:pStyle w:val="ListParagraph"/>
        <w:numPr>
          <w:ilvl w:val="0"/>
          <w:numId w:val="3"/>
        </w:numPr>
        <w:spacing w:after="90"/>
      </w:pPr>
      <w:r>
        <w:rPr>
          <w:rFonts w:ascii="Calibri" w:cs="Calibri" w:eastAsia="Calibri" w:hAnsi="Calibri"/>
          <w:color w:val="5C6678"/>
          <w:sz w:val="21"/>
          <w:szCs w:val="21"/>
        </w:rPr>
        <w:t xml:space="preserve">Read the Daily Summary for patterns, not just a total.</w:t>
      </w:r>
    </w:p>
    <w:p>
      <w:pPr>
        <w:pStyle w:val="ListParagraph"/>
        <w:numPr>
          <w:ilvl w:val="0"/>
          <w:numId w:val="3"/>
        </w:numPr>
        <w:spacing w:after="90"/>
      </w:pPr>
      <w:r>
        <w:rPr>
          <w:rFonts w:ascii="Calibri" w:cs="Calibri" w:eastAsia="Calibri" w:hAnsi="Calibri"/>
          <w:color w:val="5C6678"/>
          <w:sz w:val="21"/>
          <w:szCs w:val="21"/>
        </w:rPr>
        <w:t xml:space="preserve">Act on receivables early (7–14 days) — don't wait for the 90-day manual-review flag.</w:t>
      </w:r>
    </w:p>
    <w:p>
      <w:pPr>
        <w:pStyle w:val="ListParagraph"/>
        <w:numPr>
          <w:ilvl w:val="0"/>
          <w:numId w:val="3"/>
        </w:numPr>
        <w:spacing w:after="90"/>
      </w:pPr>
      <w:r>
        <w:rPr>
          <w:rFonts w:ascii="Calibri" w:cs="Calibri" w:eastAsia="Calibri" w:hAnsi="Calibri"/>
          <w:color w:val="5C6678"/>
          <w:sz w:val="21"/>
          <w:szCs w:val="21"/>
        </w:rPr>
        <w:t xml:space="preserve">VAT is 7.5%, pre-tagged by LabOS, but always verify treatment with your accountant.</w:t>
      </w:r>
    </w:p>
    <w:p>
      <w:pPr>
        <w:pStyle w:val="ListParagraph"/>
        <w:numPr>
          <w:ilvl w:val="0"/>
          <w:numId w:val="3"/>
        </w:numPr>
        <w:spacing w:after="90"/>
      </w:pPr>
      <w:r>
        <w:rPr>
          <w:rFonts w:ascii="Calibri" w:cs="Calibri" w:eastAsia="Calibri" w:hAnsi="Calibri"/>
          <w:color w:val="5C6678"/>
          <w:sz w:val="21"/>
          <w:szCs w:val="21"/>
        </w:rPr>
        <w:t xml:space="preserve">Five distinct exports exist for five distinct accounting needs — know which one answers which question.</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Reconciliation flow shown as a simple expected-vs-actual scale graphic, tipping to show a variance.</w:t>
      </w:r>
    </w:p>
    <w:p>
      <w:pPr>
        <w:pStyle w:val="ListParagraph"/>
        <w:numPr>
          <w:ilvl w:val="0"/>
          <w:numId w:val="3"/>
        </w:numPr>
        <w:spacing w:after="90"/>
      </w:pPr>
      <w:r>
        <w:rPr>
          <w:rFonts w:ascii="Calibri" w:cs="Calibri" w:eastAsia="Calibri" w:hAnsi="Calibri"/>
          <w:color w:val="5C6678"/>
          <w:sz w:val="21"/>
          <w:szCs w:val="21"/>
        </w:rPr>
        <w:t xml:space="preserve">Aged Receivables shown as a four-bucket bar graphic (current / 30 / 60 / 90+) with a declining-recoverability arrow alongside it.</w:t>
      </w:r>
    </w:p>
    <w:p>
      <w:pPr>
        <w:pStyle w:val="ListParagraph"/>
        <w:numPr>
          <w:ilvl w:val="0"/>
          <w:numId w:val="3"/>
        </w:numPr>
        <w:spacing w:after="90"/>
      </w:pPr>
      <w:r>
        <w:rPr>
          <w:rFonts w:ascii="Calibri" w:cs="Calibri" w:eastAsia="Calibri" w:hAnsi="Calibri"/>
          <w:color w:val="5C6678"/>
          <w:sz w:val="21"/>
          <w:szCs w:val="21"/>
        </w:rPr>
        <w:t xml:space="preserve">Five-export reference card (Sales register / Receipt register / Claims register / VAT support / GL journal) as a clean end-of-video summary graphic, reusable as a downloadable resource.</w:t>
      </w:r>
    </w:p>
    <w:p>
      <w:r>
        <w:br w:type="page"/>
      </w:r>
    </w:p>
    <w:p>
      <w:pPr>
        <w:spacing w:after="60"/>
      </w:pPr>
      <w:r>
        <w:rPr>
          <w:rFonts w:ascii="Calibri" w:cs="Calibri" w:eastAsia="Calibri" w:hAnsi="Calibri"/>
          <w:b/>
          <w:bCs/>
          <w:color w:val="A8552E"/>
          <w:spacing w:val="14"/>
          <w:sz w:val="17"/>
          <w:szCs w:val="17"/>
        </w:rPr>
        <w:t xml:space="preserve">MODULE 5</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5 assessment confirms a learner can independently manage the full financial lifecycle of a LabOS tenant — collection, exceptions, and closing the books — with the judgment to handle routine billing variation confidently rather than only processing the simplest case correctly.</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80%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5.3 (full end-of-day close) unaided in a sandbox environment, building on the payment processing from Exercises 5.1 and 5.2</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"Identify one billing rule in this module (refund channel matching, payment plan threshold, or reminder cadence timing) and explain the specific risk LabOS is protecting the laboratory against by enforcing it."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80%+ on knowledge checks, full completion of the practical task,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5 completes the financial half of Level 2's administrative foundation. Module 6 (Core Integrations Setup) returns directly to the Paystack and Termii connections introduced in this module and Module 4, extending the pattern to NHIS Portal and HL7 integrations specifically. Module 11 (Compliance &amp; Security), much later in Level 3, returns to this module's VAT and FIRS-compliance content within the broader context of full NDPR and regulatory obligations. A learner who has only memorised individual billing screens without understanding the reconciliation discipline this module emphasises will find that gap most exposed the first time a real till comes up short or a claim is rejected — exactly the moments this module is designed to prepare them for.</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5: Billing &amp; Payments</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2026-06-21T18:35:14.218Z</dcterms:created>
  <dcterms:modified xsi:type="dcterms:W3CDTF">2026-06-21T18:35:14.218Z</dcterms:modified>
</cp:coreProperties>
</file>

<file path=docProps/custom.xml><?xml version="1.0" encoding="utf-8"?>
<Properties xmlns="http://schemas.openxmlformats.org/officeDocument/2006/custom-properties" xmlns:vt="http://schemas.openxmlformats.org/officeDocument/2006/docPropsVTypes"/>
</file>