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6 — Core Integrations Setup</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6 OF 11 · LABOS ADMINISTRATOR (LEVEL 2)</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6 closes out Level 2, built from five Help &amp; Documentation articles covering the setup-level mechanics of LabOS's five core external connections: Termii (SMS/WhatsApp), Paystack, the NHIS Portal, HL7 for instrument connectivity, and SMTP for outbound email. This module covers getting each connection working correctly and securely for the first time — the deeper, advanced behaviour of these same integrations is reserved for Module 10 in Level 3.</w:t>
      </w:r>
    </w:p>
    <w:p>
      <w:pPr>
        <w:spacing w:after="160"/>
      </w:pPr>
      <w:r>
        <w:rPr>
          <w:rFonts w:ascii="Calibri" w:cs="Calibri" w:eastAsia="Calibri" w:hAnsi="Calibri"/>
          <w:color w:val="5C6678"/>
          <w:sz w:val="21"/>
          <w:szCs w:val="21"/>
        </w:rPr>
        <w:t xml:space="preserve">Every external connection in this module was already referenced somewhere earlier in the program — Termii in Module 1's support channels and Module 4's delivery configuration, Paystack throughout Module 5's billing content, HL7 in passing as part of the Instrument Gateway's future role. This module is where an administrator actually performs the setup behind all of those references for the first time, with the technical precision — API keys, webhook signatures, DNS records — that a working connection genuinely requires.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2 — LabOS Administrator, Module 3 of 3 in this level (final module before Level 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5 Help &amp; Documentation articles (in-7 through in-11),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70–90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5 — Billing &amp; Payments</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LabOS is deliberately not a closed system — it depends on a small set of external services to actually deliver value: SMS and WhatsApp providers to reach patients, a payment processor to collect revenue, the national insurance portal to submit claims, and a protocol for instruments to report results automatically. None of these connections configure themselves. An administrator who understands only the LabOS-side screens, without understanding what's happening on the other side of each connection — sender ID approval queues, webhook signature verification, DNS authentication records — will struggle the moment any one of these integrations behaves unexpectedly, which is precisely the moment a laboratory most needs it working.</w:t>
      </w:r>
    </w:p>
    <w:p>
      <w:r>
        <w:br w:type="page"/>
      </w:r>
    </w:p>
    <w:p>
      <w:pPr>
        <w:spacing w:after="60"/>
      </w:pPr>
      <w:r>
        <w:rPr>
          <w:rFonts w:ascii="Calibri" w:cs="Calibri" w:eastAsia="Calibri" w:hAnsi="Calibri"/>
          <w:b/>
          <w:bCs/>
          <w:color w:val="A8552E"/>
          <w:spacing w:val="14"/>
          <w:sz w:val="17"/>
          <w:szCs w:val="17"/>
        </w:rPr>
        <w:t xml:space="preserve">MODULE 6</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6,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Set up Termii for SMS and WhatsApp delivery, including sender ID registration and realistic cost budgeting.</w:t>
      </w:r>
    </w:p>
    <w:p>
      <w:pPr>
        <w:pStyle w:val="ListParagraph"/>
        <w:numPr>
          <w:ilvl w:val="0"/>
          <w:numId w:val="2"/>
        </w:numPr>
        <w:spacing w:after="90"/>
      </w:pPr>
      <w:r>
        <w:rPr>
          <w:rFonts w:ascii="Calibri" w:cs="Calibri" w:eastAsia="Calibri" w:hAnsi="Calibri"/>
          <w:color w:val="5C6678"/>
          <w:sz w:val="21"/>
          <w:szCs w:val="21"/>
        </w:rPr>
        <w:t xml:space="preserve">Connect Paystack correctly using test mode first, and explain why webhook signature verification matters and how it works.</w:t>
      </w:r>
    </w:p>
    <w:p>
      <w:pPr>
        <w:pStyle w:val="ListParagraph"/>
        <w:numPr>
          <w:ilvl w:val="0"/>
          <w:numId w:val="2"/>
        </w:numPr>
        <w:spacing w:after="90"/>
      </w:pPr>
      <w:r>
        <w:rPr>
          <w:rFonts w:ascii="Calibri" w:cs="Calibri" w:eastAsia="Calibri" w:hAnsi="Calibri"/>
          <w:color w:val="5C6678"/>
          <w:sz w:val="21"/>
          <w:szCs w:val="21"/>
        </w:rPr>
        <w:t xml:space="preserve">Explain the prerequisites for NHIS Portal integration and identify the common pitfalls that cause claim friction.</w:t>
      </w:r>
    </w:p>
    <w:p>
      <w:pPr>
        <w:pStyle w:val="ListParagraph"/>
        <w:numPr>
          <w:ilvl w:val="0"/>
          <w:numId w:val="2"/>
        </w:numPr>
        <w:spacing w:after="90"/>
      </w:pPr>
      <w:r>
        <w:rPr>
          <w:rFonts w:ascii="Calibri" w:cs="Calibri" w:eastAsia="Calibri" w:hAnsi="Calibri"/>
          <w:color w:val="5C6678"/>
          <w:sz w:val="21"/>
          <w:szCs w:val="21"/>
        </w:rPr>
        <w:t xml:space="preserve">Configure the HL7 listener for automated instrument result transfer, and explain the network security requirement that protects it.</w:t>
      </w:r>
    </w:p>
    <w:p>
      <w:pPr>
        <w:pStyle w:val="ListParagraph"/>
        <w:numPr>
          <w:ilvl w:val="0"/>
          <w:numId w:val="2"/>
        </w:numPr>
        <w:spacing w:after="90"/>
      </w:pPr>
      <w:r>
        <w:rPr>
          <w:rFonts w:ascii="Calibri" w:cs="Calibri" w:eastAsia="Calibri" w:hAnsi="Calibri"/>
          <w:color w:val="5C6678"/>
          <w:sz w:val="21"/>
          <w:szCs w:val="21"/>
        </w:rPr>
        <w:t xml:space="preserve">Choose an appropriate SMTP provider for outbound email and configure the DNS records required to avoid spam classification.</w:t>
      </w:r>
    </w:p>
    <w:p>
      <w:r>
        <w:br w:type="page"/>
      </w:r>
    </w:p>
    <w:p>
      <w:pPr>
        <w:spacing w:after="60"/>
      </w:pPr>
      <w:r>
        <w:rPr>
          <w:rFonts w:ascii="Calibri" w:cs="Calibri" w:eastAsia="Calibri" w:hAnsi="Calibri"/>
          <w:b/>
          <w:bCs/>
          <w:color w:val="A8552E"/>
          <w:spacing w:val="14"/>
          <w:sz w:val="17"/>
          <w:szCs w:val="17"/>
        </w:rPr>
        <w:t xml:space="preserve">MODULE 6</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this module's three lessons, and reflect a shift in the kind of administrative skill this module demands compared to Modules 4 and 5.</w:t>
      </w:r>
    </w:p>
    <w:p>
      <w:pPr>
        <w:spacing w:after="80"/>
      </w:pPr>
    </w:p>
    <w:p>
      <w:pPr>
        <w:spacing w:after="100" w:before="220"/>
      </w:pPr>
      <w:r>
        <w:rPr>
          <w:rFonts w:ascii="Calibri" w:cs="Calibri" w:eastAsia="Calibri" w:hAnsi="Calibri"/>
          <w:b/>
          <w:bCs/>
          <w:color w:val="0E1F33"/>
          <w:sz w:val="22"/>
          <w:szCs w:val="22"/>
        </w:rPr>
        <w:t xml:space="preserve">Concept: Test mode exists to make mistakes cheap</w:t>
      </w:r>
    </w:p>
    <w:p>
      <w:pPr>
        <w:spacing w:after="160"/>
      </w:pPr>
      <w:r>
        <w:rPr>
          <w:rFonts w:ascii="Calibri" w:cs="Calibri" w:eastAsia="Calibri" w:hAnsi="Calibri"/>
          <w:color w:val="5C6678"/>
          <w:sz w:val="21"/>
          <w:szCs w:val="21"/>
        </w:rPr>
        <w:t xml:space="preserve">Paystack's test-mode keys, Termii's connection check, and a sandbox HL7 simulator all share one underlying purpose: letting an administrator make and discover configuration mistakes before those mistakes touch real patient communication or real money. An administrator who skips test mode — pasting live Paystack keys directly, or connecting a real analyser to an untested HL7 listener — isn't being efficient, they're simply moving the cost of an inevitable first mistake from a safe, controlled environment to a live one.</w:t>
      </w:r>
    </w:p>
    <w:p>
      <w:pPr>
        <w:spacing w:after="100" w:before="220"/>
      </w:pPr>
      <w:r>
        <w:rPr>
          <w:rFonts w:ascii="Calibri" w:cs="Calibri" w:eastAsia="Calibri" w:hAnsi="Calibri"/>
          <w:b/>
          <w:bCs/>
          <w:color w:val="0E1F33"/>
          <w:sz w:val="22"/>
          <w:szCs w:val="22"/>
        </w:rPr>
        <w:t xml:space="preserve">Concept: A connection is only as trustworthy as its verification</w:t>
      </w:r>
    </w:p>
    <w:p>
      <w:pPr>
        <w:spacing w:after="160"/>
      </w:pPr>
      <w:r>
        <w:rPr>
          <w:rFonts w:ascii="Calibri" w:cs="Calibri" w:eastAsia="Calibri" w:hAnsi="Calibri"/>
          <w:color w:val="5C6678"/>
          <w:sz w:val="21"/>
          <w:szCs w:val="21"/>
        </w:rPr>
        <w:t xml:space="preserve">It is not enough for an integration to technically work — it needs to be verifiably, provably working, and resistant to being faked. Paystack's HMAC-SHA512 webhook signature exists specifically so LabOS can distinguish a real payment notification from a forged one; SPF, DKIM, and DMARC exist so a receiving mail server can distinguish a genuine email from your laboratory from a spoofed one. This module's recurring theme is that real-world integrations need this second layer of verification, not just a working connection, and an administrator who configures the connection but skips the verification layer has built something that looks complete but isn't actually trustworthy.</w:t>
      </w:r>
    </w:p>
    <w:p>
      <w:pPr>
        <w:spacing w:after="100" w:before="220"/>
      </w:pPr>
      <w:r>
        <w:rPr>
          <w:rFonts w:ascii="Calibri" w:cs="Calibri" w:eastAsia="Calibri" w:hAnsi="Calibri"/>
          <w:b/>
          <w:bCs/>
          <w:color w:val="0E1F33"/>
          <w:sz w:val="22"/>
          <w:szCs w:val="22"/>
        </w:rPr>
        <w:t xml:space="preserve">Concept: Some integrations carry network-security stakes, not just configuration stakes</w:t>
      </w:r>
    </w:p>
    <w:p>
      <w:pPr>
        <w:spacing w:after="160"/>
      </w:pPr>
      <w:r>
        <w:rPr>
          <w:rFonts w:ascii="Calibri" w:cs="Calibri" w:eastAsia="Calibri" w:hAnsi="Calibri"/>
          <w:color w:val="5C6678"/>
          <w:sz w:val="21"/>
          <w:szCs w:val="21"/>
        </w:rPr>
        <w:t xml:space="preserve">Most of what this program has covered so far is about correct configuration within LabOS's own access-controlled environment. The HL7 listener is different: it is a network service LabOS exposes to receive connections from instruments, and getting its exposure wrong — for example, placing it on the public internet rather than a private VLAN — isn't a configuration inconvenience, it's a genuine security vulnerability. This module is the first place in the program where an administrator's decisions have consequences reaching beyond LabOS itself, into the laboratory's broader network security posture.</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Always begin with test/sandbox credentials for any new integration, and only switch to live credentials once the connection is fully verified end to end.</w:t>
            </w:r>
          </w:p>
          <w:p>
            <w:pPr>
              <w:pStyle w:val="ListParagraph"/>
              <w:numPr>
                <w:ilvl w:val="0"/>
                <w:numId w:val="3"/>
              </w:numPr>
              <w:spacing w:after="70"/>
            </w:pPr>
            <w:r>
              <w:rPr>
                <w:rFonts w:ascii="Calibri" w:cs="Calibri" w:eastAsia="Calibri" w:hAnsi="Calibri"/>
                <w:color w:val="5C6678"/>
                <w:sz w:val="20"/>
                <w:szCs w:val="20"/>
              </w:rPr>
              <w:t xml:space="preserve">Treat sender ID, WhatsApp template, and other third-party approval queues (24–48 hours typical) as a planning input — start these well before a launch date, not the week of.</w:t>
            </w:r>
          </w:p>
          <w:p>
            <w:pPr>
              <w:pStyle w:val="ListParagraph"/>
              <w:numPr>
                <w:ilvl w:val="0"/>
                <w:numId w:val="3"/>
              </w:numPr>
              <w:spacing w:after="70"/>
            </w:pPr>
            <w:r>
              <w:rPr>
                <w:rFonts w:ascii="Calibri" w:cs="Calibri" w:eastAsia="Calibri" w:hAnsi="Calibri"/>
                <w:color w:val="5C6678"/>
                <w:sz w:val="20"/>
                <w:szCs w:val="20"/>
              </w:rPr>
              <w:t xml:space="preserve">Never skip signature or authentication verification (Paystack webhook signing, SPF/DKIM/DMARC) even when a connection appears to be working without it — appearing to work and being trustworthy are different things.</w:t>
            </w:r>
          </w:p>
          <w:p>
            <w:pPr>
              <w:pStyle w:val="ListParagraph"/>
              <w:numPr>
                <w:ilvl w:val="0"/>
                <w:numId w:val="3"/>
              </w:numPr>
              <w:spacing w:after="70"/>
            </w:pPr>
            <w:r>
              <w:rPr>
                <w:rFonts w:ascii="Calibri" w:cs="Calibri" w:eastAsia="Calibri" w:hAnsi="Calibri"/>
                <w:color w:val="5C6678"/>
                <w:sz w:val="20"/>
                <w:szCs w:val="20"/>
              </w:rPr>
              <w:t xml:space="preserve">Treat any integration that exposes a network listener (HL7) as a security decision requiring deliberate network placement, not just a LabOS settings screen to fill in.</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Pasting live Paystack keys directly into a new integration without ever testing in test mode first.</w:t>
            </w:r>
          </w:p>
          <w:p>
            <w:pPr>
              <w:pStyle w:val="ListParagraph"/>
              <w:numPr>
                <w:ilvl w:val="0"/>
                <w:numId w:val="3"/>
              </w:numPr>
              <w:spacing w:after="70"/>
            </w:pPr>
            <w:r>
              <w:rPr>
                <w:rFonts w:ascii="Calibri" w:cs="Calibri" w:eastAsia="Calibri" w:hAnsi="Calibri"/>
                <w:color w:val="5C6678"/>
                <w:sz w:val="20"/>
                <w:szCs w:val="20"/>
              </w:rPr>
              <w:t xml:space="preserve">Submitting a sender ID or WhatsApp template request at the last minute and being surprised by a 24–48 hour approval delay blocking a launch.</w:t>
            </w:r>
          </w:p>
          <w:p>
            <w:pPr>
              <w:pStyle w:val="ListParagraph"/>
              <w:numPr>
                <w:ilvl w:val="0"/>
                <w:numId w:val="3"/>
              </w:numPr>
              <w:spacing w:after="70"/>
            </w:pPr>
            <w:r>
              <w:rPr>
                <w:rFonts w:ascii="Calibri" w:cs="Calibri" w:eastAsia="Calibri" w:hAnsi="Calibri"/>
                <w:color w:val="5C6678"/>
                <w:sz w:val="20"/>
                <w:szCs w:val="20"/>
              </w:rPr>
              <w:t xml:space="preserve">Trusting an unsigned or unverified Paystack webhook callback, rather than validating its HMAC-SHA512 signature server-side.</w:t>
            </w:r>
          </w:p>
          <w:p>
            <w:pPr>
              <w:pStyle w:val="ListParagraph"/>
              <w:numPr>
                <w:ilvl w:val="0"/>
                <w:numId w:val="3"/>
              </w:numPr>
              <w:spacing w:after="70"/>
            </w:pPr>
            <w:r>
              <w:rPr>
                <w:rFonts w:ascii="Calibri" w:cs="Calibri" w:eastAsia="Calibri" w:hAnsi="Calibri"/>
                <w:color w:val="5C6678"/>
                <w:sz w:val="20"/>
                <w:szCs w:val="20"/>
              </w:rPr>
              <w:t xml:space="preserve">Exposing the HL7 listener on the public internet for convenience, rather than keeping it on a private, properly segmented VLAN.</w:t>
            </w:r>
          </w:p>
          <w:p>
            <w:pPr>
              <w:pStyle w:val="ListParagraph"/>
              <w:numPr>
                <w:ilvl w:val="0"/>
                <w:numId w:val="3"/>
              </w:numPr>
              <w:spacing w:after="70"/>
            </w:pPr>
            <w:r>
              <w:rPr>
                <w:rFonts w:ascii="Calibri" w:cs="Calibri" w:eastAsia="Calibri" w:hAnsi="Calibri"/>
                <w:color w:val="5C6678"/>
                <w:sz w:val="20"/>
                <w:szCs w:val="20"/>
              </w:rPr>
              <w:t xml:space="preserve">Skipping SPF, DKIM, and DMARC DNS record setup and being confused when legitimate LabOS emails land in patients' spam folders.</w:t>
            </w:r>
          </w:p>
        </w:tc>
      </w:tr>
    </w:tbl>
    <w:p>
      <w:r>
        <w:br w:type="page"/>
      </w:r>
    </w:p>
    <w:p>
      <w:pPr>
        <w:spacing w:after="60"/>
      </w:pPr>
      <w:r>
        <w:rPr>
          <w:rFonts w:ascii="Calibri" w:cs="Calibri" w:eastAsia="Calibri" w:hAnsi="Calibri"/>
          <w:b/>
          <w:bCs/>
          <w:color w:val="A8552E"/>
          <w:spacing w:val="14"/>
          <w:sz w:val="17"/>
          <w:szCs w:val="17"/>
        </w:rPr>
        <w:t xml:space="preserve">LESSON 6.1</w:t>
      </w:r>
    </w:p>
    <w:p>
      <w:pPr>
        <w:pStyle w:val="Heading1"/>
      </w:pPr>
      <w:r>
        <w:rPr>
          <w:rFonts w:ascii="Calibri" w:cs="Calibri" w:eastAsia="Calibri" w:hAnsi="Calibri"/>
        </w:rPr>
        <w:t xml:space="preserve">Connecting Patient Communication: Termii and WhatsApp</w:t>
      </w:r>
    </w:p>
    <w:p>
      <w:pPr>
        <w:spacing w:after="200"/>
      </w:pPr>
      <w:r>
        <w:rPr>
          <w:rFonts w:ascii="Calibri" w:cs="Calibri" w:eastAsia="Calibri" w:hAnsi="Calibri"/>
          <w:color w:val="5C6678"/>
          <w:sz w:val="23"/>
          <w:szCs w:val="23"/>
        </w:rPr>
        <w:t xml:space="preserve">This lesson covers the practical, often-overlooked groundwork behind every SMS and WhatsApp message LabOS has sent in every earlier module's examples — registering a sender identity, budgeting real cost, and connecting it correctly.</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setting up Termii for both SMS and WhatsApp delivery — the channel that Module 1 referenced for support and Module 4 covered as part of delivery configuration. By the end, a learner should be able to perform the complete setup themselves: creating and verifying a Termii account, registering an approved sender ID, linking a WhatsApp Business number, and confirming the connection actually works.</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Every patient-facing SMS or WhatsApp message this program has referenced — a critical-result callback, a report-ready notification, a payment confirmation — depends entirely on this setup being done correctly and completely beforehand. An administrator who understands the screens but not the underlying account-creation, verification, and approval process behind them will be unable to explain to laboratory leadership why a new sender ID "isn't working yet" two days before a launch — when the honest answer is simply that approval takes 24 to 48 hours and should have been started earlier.</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Creating and verifying a Termii business account at termii.com.</w:t>
      </w:r>
    </w:p>
    <w:p>
      <w:pPr>
        <w:pStyle w:val="ListParagraph"/>
        <w:numPr>
          <w:ilvl w:val="0"/>
          <w:numId w:val="3"/>
        </w:numPr>
        <w:spacing w:after="90"/>
      </w:pPr>
      <w:r>
        <w:rPr>
          <w:rFonts w:ascii="Calibri" w:cs="Calibri" w:eastAsia="Calibri" w:hAnsi="Calibri"/>
          <w:color w:val="5C6678"/>
          <w:sz w:val="21"/>
          <w:szCs w:val="21"/>
        </w:rPr>
        <w:t xml:space="preserve">Wallet top-up and realistic per-message cost budgeting (approximately ₦5 per SMS to Nigerian networks, more for WhatsApp).</w:t>
      </w:r>
    </w:p>
    <w:p>
      <w:pPr>
        <w:pStyle w:val="ListParagraph"/>
        <w:numPr>
          <w:ilvl w:val="0"/>
          <w:numId w:val="3"/>
        </w:numPr>
        <w:spacing w:after="90"/>
      </w:pPr>
      <w:r>
        <w:rPr>
          <w:rFonts w:ascii="Calibri" w:cs="Calibri" w:eastAsia="Calibri" w:hAnsi="Calibri"/>
          <w:color w:val="5C6678"/>
          <w:sz w:val="21"/>
          <w:szCs w:val="21"/>
        </w:rPr>
        <w:t xml:space="preserve">Registering an SMS Sender ID: maximum 11 characters, all capitals, no spaces, with 24–48 hour approval.</w:t>
      </w:r>
    </w:p>
    <w:p>
      <w:pPr>
        <w:pStyle w:val="ListParagraph"/>
        <w:numPr>
          <w:ilvl w:val="0"/>
          <w:numId w:val="3"/>
        </w:numPr>
        <w:spacing w:after="90"/>
      </w:pPr>
      <w:r>
        <w:rPr>
          <w:rFonts w:ascii="Calibri" w:cs="Calibri" w:eastAsia="Calibri" w:hAnsi="Calibri"/>
          <w:color w:val="5C6678"/>
          <w:sz w:val="21"/>
          <w:szCs w:val="21"/>
        </w:rPr>
        <w:t xml:space="preserve">Linking a verified WhatsApp Business number.</w:t>
      </w:r>
    </w:p>
    <w:p>
      <w:pPr>
        <w:pStyle w:val="ListParagraph"/>
        <w:numPr>
          <w:ilvl w:val="0"/>
          <w:numId w:val="3"/>
        </w:numPr>
        <w:spacing w:after="90"/>
      </w:pPr>
      <w:r>
        <w:rPr>
          <w:rFonts w:ascii="Calibri" w:cs="Calibri" w:eastAsia="Calibri" w:hAnsi="Calibri"/>
          <w:color w:val="5C6678"/>
          <w:sz w:val="21"/>
          <w:szCs w:val="21"/>
        </w:rPr>
        <w:t xml:space="preserve">Entering the API key, sender ID, and WhatsApp number in LabOS under Integrations → Termii.</w:t>
      </w:r>
    </w:p>
    <w:p>
      <w:pPr>
        <w:pStyle w:val="ListParagraph"/>
        <w:numPr>
          <w:ilvl w:val="0"/>
          <w:numId w:val="3"/>
        </w:numPr>
        <w:spacing w:after="90"/>
      </w:pPr>
      <w:r>
        <w:rPr>
          <w:rFonts w:ascii="Calibri" w:cs="Calibri" w:eastAsia="Calibri" w:hAnsi="Calibri"/>
          <w:color w:val="5C6678"/>
          <w:sz w:val="21"/>
          <w:szCs w:val="21"/>
        </w:rPr>
        <w:t xml:space="preserve">Testing the connection via a server-side balance-check call.</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Setting up the Termii account itself</w:t>
      </w:r>
    </w:p>
    <w:p>
      <w:pPr>
        <w:spacing w:after="160"/>
      </w:pPr>
      <w:r>
        <w:rPr>
          <w:rFonts w:ascii="Calibri" w:cs="Calibri" w:eastAsia="Calibri" w:hAnsi="Calibri"/>
          <w:color w:val="5C6678"/>
          <w:sz w:val="21"/>
          <w:szCs w:val="21"/>
        </w:rPr>
        <w:t xml:space="preserve">Before anything happens inside LabOS, an administrator needs a verified Termii business account created directly at termii.com — this is a step entirely outside LabOS, and it's worth understanding clearly that LabOS is connecting to an account that must already exist and be verified, not creating one on the laboratory's behalf. The account's wallet needs topping up before any messages can actually send, and budgeting realistically matters here: SMS to Nigerian networks runs at roughly ₦5 per message, with WhatsApp typically costing more per message — a laboratory sending hundreds of report notifications a day should budget against real, not nominal, volume.</w:t>
      </w:r>
    </w:p>
    <w:p>
      <w:pPr>
        <w:spacing w:after="100" w:before="220"/>
      </w:pPr>
      <w:r>
        <w:rPr>
          <w:rFonts w:ascii="Calibri" w:cs="Calibri" w:eastAsia="Calibri" w:hAnsi="Calibri"/>
          <w:b/>
          <w:bCs/>
          <w:color w:val="0E1F33"/>
          <w:sz w:val="20"/>
          <w:szCs w:val="20"/>
        </w:rPr>
        <w:t xml:space="preserve">Registering a sender ID with realistic timing expectations</w:t>
      </w:r>
    </w:p>
    <w:p>
      <w:pPr>
        <w:spacing w:after="160"/>
      </w:pPr>
      <w:r>
        <w:rPr>
          <w:rFonts w:ascii="Calibri" w:cs="Calibri" w:eastAsia="Calibri" w:hAnsi="Calibri"/>
          <w:color w:val="5C6678"/>
          <w:sz w:val="21"/>
          <w:szCs w:val="21"/>
        </w:rPr>
        <w:t xml:space="preserve">An SMS Sender ID — the name recipients see instead of a random number, for example a laboratory's own short name — must be registered and approved before use, with specific format constraints: a maximum of 11 characters, all capital letters, no spaces. Approval is not instant; it typically takes 24 to 48 hours. This timing detail is the single most important planning fact in this lesson: an administrator setting up Termii the week of a launch, expecting same-day sender ID approval, will be caught short. The correct practice is to register the sender ID as early as possible in any setup timeline, treating the approval window as a hard planning constraint rather than an afterthought.</w:t>
      </w:r>
    </w:p>
    <w:p>
      <w:pPr>
        <w:spacing w:after="100" w:before="220"/>
      </w:pPr>
      <w:r>
        <w:rPr>
          <w:rFonts w:ascii="Calibri" w:cs="Calibri" w:eastAsia="Calibri" w:hAnsi="Calibri"/>
          <w:b/>
          <w:bCs/>
          <w:color w:val="0E1F33"/>
          <w:sz w:val="20"/>
          <w:szCs w:val="20"/>
        </w:rPr>
        <w:t xml:space="preserve">Connecting WhatsApp and completing setup in LabOS</w:t>
      </w:r>
    </w:p>
    <w:p>
      <w:pPr>
        <w:spacing w:after="160"/>
      </w:pPr>
      <w:r>
        <w:rPr>
          <w:rFonts w:ascii="Calibri" w:cs="Calibri" w:eastAsia="Calibri" w:hAnsi="Calibri"/>
          <w:color w:val="5C6678"/>
          <w:sz w:val="21"/>
          <w:szCs w:val="21"/>
        </w:rPr>
        <w:t xml:space="preserve">For WhatsApp specifically, a verified WhatsApp Business number must be linked to the Termii account before LabOS can use it for delivery — this is the same WhatsApp-first delivery preference discussed in Module 4's communication content, now being configured at its source. With the Termii account verified, funded, and the sender ID approved, the actual LabOS-side configuration is comparatively simple: opening Integrations → Termii and pasting the API key (copied from Termii's own dashboard), the approved sender ID, and the linked WhatsApp number, then saving. Clicking Test connection triggers a real server-side balance-check call against the Termii account — a successful result confirms the credentials are genuinely valid, not just correctly formatted.</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Register your sender ID and begin WhatsApp Business verification as early as possible in any new-laboratory or new-feature timeline, never the week of launch.</w:t>
      </w:r>
    </w:p>
    <w:p>
      <w:pPr>
        <w:pStyle w:val="ListParagraph"/>
        <w:numPr>
          <w:ilvl w:val="0"/>
          <w:numId w:val="3"/>
        </w:numPr>
        <w:spacing w:after="90"/>
      </w:pPr>
      <w:r>
        <w:rPr>
          <w:rFonts w:ascii="Calibri" w:cs="Calibri" w:eastAsia="Calibri" w:hAnsi="Calibri"/>
          <w:color w:val="5C6678"/>
          <w:sz w:val="21"/>
          <w:szCs w:val="21"/>
        </w:rPr>
        <w:t xml:space="preserve">Budget Termii wallet top-ups against realistic projected message volume, not a rough guess, especially as a laboratory's patient base and report volume grows.</w:t>
      </w:r>
    </w:p>
    <w:p>
      <w:pPr>
        <w:pStyle w:val="ListParagraph"/>
        <w:numPr>
          <w:ilvl w:val="0"/>
          <w:numId w:val="3"/>
        </w:numPr>
        <w:spacing w:after="90"/>
      </w:pPr>
      <w:r>
        <w:rPr>
          <w:rFonts w:ascii="Calibri" w:cs="Calibri" w:eastAsia="Calibri" w:hAnsi="Calibri"/>
          <w:color w:val="5C6678"/>
          <w:sz w:val="21"/>
          <w:szCs w:val="21"/>
        </w:rPr>
        <w:t xml:space="preserve">Always click Test connection after entering Termii credentials in LabOS, and treat a successful balance-check as the genuine confirmation it is — not just a formality to click through.</w:t>
      </w:r>
    </w:p>
    <w:p>
      <w:pPr>
        <w:pStyle w:val="ListParagraph"/>
        <w:numPr>
          <w:ilvl w:val="0"/>
          <w:numId w:val="3"/>
        </w:numPr>
        <w:spacing w:after="90"/>
      </w:pPr>
      <w:r>
        <w:rPr>
          <w:rFonts w:ascii="Calibri" w:cs="Calibri" w:eastAsia="Calibri" w:hAnsi="Calibri"/>
          <w:color w:val="5C6678"/>
          <w:sz w:val="21"/>
          <w:szCs w:val="21"/>
        </w:rPr>
        <w:t xml:space="preserve">Keep the sender ID format constraints (11 characters, all caps, no spaces) in mind when first choosing a sender ID, to avoid a rejected initial submission and lost approval-cycle time.</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Starting Termii account setup and sender ID registration too close to a planned launch date, running into the 24–48 hour approval window unexpectedly.</w:t>
      </w:r>
    </w:p>
    <w:p>
      <w:pPr>
        <w:pStyle w:val="ListParagraph"/>
        <w:numPr>
          <w:ilvl w:val="0"/>
          <w:numId w:val="3"/>
        </w:numPr>
        <w:spacing w:after="90"/>
      </w:pPr>
      <w:r>
        <w:rPr>
          <w:rFonts w:ascii="Calibri" w:cs="Calibri" w:eastAsia="Calibri" w:hAnsi="Calibri"/>
          <w:color w:val="5C6678"/>
          <w:sz w:val="21"/>
          <w:szCs w:val="21"/>
        </w:rPr>
        <w:t xml:space="preserve">Underestimating Termii wallet funding needs against real daily message volume, leading to delivery failures from an empty wallet at an inconvenient moment.</w:t>
      </w:r>
    </w:p>
    <w:p>
      <w:pPr>
        <w:pStyle w:val="ListParagraph"/>
        <w:numPr>
          <w:ilvl w:val="0"/>
          <w:numId w:val="3"/>
        </w:numPr>
        <w:spacing w:after="90"/>
      </w:pPr>
      <w:r>
        <w:rPr>
          <w:rFonts w:ascii="Calibri" w:cs="Calibri" w:eastAsia="Calibri" w:hAnsi="Calibri"/>
          <w:color w:val="5C6678"/>
          <w:sz w:val="21"/>
          <w:szCs w:val="21"/>
        </w:rPr>
        <w:t xml:space="preserve">Entering Termii credentials in LabOS without ever clicking Test connection, only discovering a credential error when a real patient message fails to send.</w:t>
      </w:r>
    </w:p>
    <w:p>
      <w:pPr>
        <w:pStyle w:val="ListParagraph"/>
        <w:numPr>
          <w:ilvl w:val="0"/>
          <w:numId w:val="3"/>
        </w:numPr>
        <w:spacing w:after="90"/>
      </w:pPr>
      <w:r>
        <w:rPr>
          <w:rFonts w:ascii="Calibri" w:cs="Calibri" w:eastAsia="Calibri" w:hAnsi="Calibri"/>
          <w:color w:val="5C6678"/>
          <w:sz w:val="21"/>
          <w:szCs w:val="21"/>
        </w:rPr>
        <w:t xml:space="preserve">Choosing a sender ID that violates the format constraints and having the initial submission rejected, losing time in the approval cycle.</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6.1 — SET UP PATIENT COMMUNICATION</w:t>
            </w:r>
          </w:p>
          <w:p>
            <w:r>
              <w:rPr>
                <w:rFonts w:ascii="Calibri" w:cs="Calibri" w:eastAsia="Calibri" w:hAnsi="Calibri"/>
                <w:i/>
                <w:iCs/>
                <w:color w:val="0E1F33"/>
                <w:sz w:val="21"/>
                <w:szCs w:val="21"/>
              </w:rPr>
              <w:t xml:space="preserve">Using Termii's documentation as a reference (or a sandbox account if available), write out the complete sequence of steps from zero to a working LabOS Termii connection, including realistic timing estimates for each step (account verification, sender ID approval, WhatsApp Business verification). Identify which of these steps could realistically be started in parallel versus which must happen sequentially. In a sandbox LabOS environment, enter placeholder Termii credentials under Integrations → Termii and click Test connection, noting what the result tells you about credential validity.</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laboratory administrator registers a new Termii sender ID three days before a planned go-live date. Is this adequate planning, and why?</w:t>
      </w:r>
    </w:p>
    <w:p>
      <w:pPr>
        <w:spacing w:after="60"/>
      </w:pPr>
      <w:r>
        <w:rPr>
          <w:rFonts w:ascii="Calibri" w:cs="Calibri" w:eastAsia="Calibri" w:hAnsi="Calibri"/>
          <w:color w:val="5C6678"/>
          <w:sz w:val="20"/>
          <w:szCs w:val="20"/>
        </w:rPr>
        <w:t xml:space="preserve">It is likely adequate but tight — sender ID approval typically takes 24–48 hours, so three days provides some buffer, but best practice is to register it as early as possible in the setup timeline rather than relying on the approval landing within a narrow window before go-live.</w:t>
      </w:r>
    </w:p>
    <w:p>
      <w:pPr>
        <w:spacing w:after="50" w:before="140"/>
      </w:pPr>
      <w:r>
        <w:rPr>
          <w:rFonts w:ascii="Calibri" w:cs="Calibri" w:eastAsia="Calibri" w:hAnsi="Calibri"/>
          <w:b/>
          <w:bCs/>
          <w:color w:val="0E1F33"/>
          <w:sz w:val="21"/>
          <w:szCs w:val="21"/>
        </w:rPr>
        <w:t xml:space="preserve">2. What does a successful result from LabOS's Termii "Test connection" button actually confirm?</w:t>
      </w:r>
    </w:p>
    <w:p>
      <w:pPr>
        <w:spacing w:after="60"/>
      </w:pPr>
      <w:r>
        <w:rPr>
          <w:rFonts w:ascii="Calibri" w:cs="Calibri" w:eastAsia="Calibri" w:hAnsi="Calibri"/>
          <w:color w:val="5C6678"/>
          <w:sz w:val="20"/>
          <w:szCs w:val="20"/>
        </w:rPr>
        <w:t xml:space="preserve">It confirms the entered API key, sender ID, and WhatsApp number are genuinely valid, because the test performs a real server-side balance-check call against the Termii account — it is a true verification, not just a formatting check of the entered credentials.</w:t>
      </w:r>
    </w:p>
    <w:p>
      <w:pPr>
        <w:spacing w:after="50" w:before="140"/>
      </w:pPr>
      <w:r>
        <w:rPr>
          <w:rFonts w:ascii="Calibri" w:cs="Calibri" w:eastAsia="Calibri" w:hAnsi="Calibri"/>
          <w:b/>
          <w:bCs/>
          <w:color w:val="0E1F33"/>
          <w:sz w:val="21"/>
          <w:szCs w:val="21"/>
        </w:rPr>
        <w:t xml:space="preserve">3. Why does this lesson emphasise realistic wallet-funding budgeting rather than just describing how to top up the Termii wallet?</w:t>
      </w:r>
    </w:p>
    <w:p>
      <w:pPr>
        <w:spacing w:after="60"/>
      </w:pPr>
      <w:r>
        <w:rPr>
          <w:rFonts w:ascii="Calibri" w:cs="Calibri" w:eastAsia="Calibri" w:hAnsi="Calibri"/>
          <w:color w:val="5C6678"/>
          <w:sz w:val="20"/>
          <w:szCs w:val="20"/>
        </w:rPr>
        <w:t xml:space="preserve">Because under-budgeting against real daily message volume is a common, avoidable failure mode — a laboratory that funds its wallet against a rough guess rather than actual projected SMS and WhatsApp volume risks delivery failures from an empty wallet at an operationally inconvenient moment, such as during a busy reporting day.</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6.1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"Connecting Patient Communication: Termii and WhatsApp" — CLA Module 6,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set up a complete Termii SMS and WhatsApp connection, with realistic timing and budget planning.</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7–9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split between the external Termii dashboard and the LabOS integration screen</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(0:00–0:35) — "Every SMS and WhatsApp message you've seen referenced in this program so far depends on what we're about to set up."</w:t>
      </w:r>
    </w:p>
    <w:p>
      <w:pPr>
        <w:pStyle w:val="ListParagraph"/>
        <w:numPr>
          <w:ilvl w:val="0"/>
          <w:numId w:val="4"/>
        </w:numPr>
        <w:spacing w:after="90"/>
      </w:pPr>
      <w:r>
        <w:rPr>
          <w:rFonts w:ascii="Calibri" w:cs="Calibri" w:eastAsia="Calibri" w:hAnsi="Calibri"/>
          <w:color w:val="5C6678"/>
          <w:sz w:val="21"/>
          <w:szCs w:val="21"/>
        </w:rPr>
        <w:t xml:space="preserve">Termii account creation and verification, briefly (0:35–1:30).</w:t>
      </w:r>
    </w:p>
    <w:p>
      <w:pPr>
        <w:pStyle w:val="ListParagraph"/>
        <w:numPr>
          <w:ilvl w:val="0"/>
          <w:numId w:val="4"/>
        </w:numPr>
        <w:spacing w:after="90"/>
      </w:pPr>
      <w:r>
        <w:rPr>
          <w:rFonts w:ascii="Calibri" w:cs="Calibri" w:eastAsia="Calibri" w:hAnsi="Calibri"/>
          <w:color w:val="5C6678"/>
          <w:sz w:val="21"/>
          <w:szCs w:val="21"/>
        </w:rPr>
        <w:t xml:space="preserve">Sender ID registration: format rules and the 24–48 hour timing, emphasised clearly (1:30–3:00).</w:t>
      </w:r>
    </w:p>
    <w:p>
      <w:pPr>
        <w:pStyle w:val="ListParagraph"/>
        <w:numPr>
          <w:ilvl w:val="0"/>
          <w:numId w:val="4"/>
        </w:numPr>
        <w:spacing w:after="90"/>
      </w:pPr>
      <w:r>
        <w:rPr>
          <w:rFonts w:ascii="Calibri" w:cs="Calibri" w:eastAsia="Calibri" w:hAnsi="Calibri"/>
          <w:color w:val="5C6678"/>
          <w:sz w:val="21"/>
          <w:szCs w:val="21"/>
        </w:rPr>
        <w:t xml:space="preserve">WhatsApp Business number linking (3:00–4:00).</w:t>
      </w:r>
    </w:p>
    <w:p>
      <w:pPr>
        <w:pStyle w:val="ListParagraph"/>
        <w:numPr>
          <w:ilvl w:val="0"/>
          <w:numId w:val="4"/>
        </w:numPr>
        <w:spacing w:after="90"/>
      </w:pPr>
      <w:r>
        <w:rPr>
          <w:rFonts w:ascii="Calibri" w:cs="Calibri" w:eastAsia="Calibri" w:hAnsi="Calibri"/>
          <w:color w:val="5C6678"/>
          <w:sz w:val="21"/>
          <w:szCs w:val="21"/>
        </w:rPr>
        <w:t xml:space="preserve">LabOS-side configuration: Integrations → Termii, entering credentials (4:00–5:30).</w:t>
      </w:r>
    </w:p>
    <w:p>
      <w:pPr>
        <w:pStyle w:val="ListParagraph"/>
        <w:numPr>
          <w:ilvl w:val="0"/>
          <w:numId w:val="4"/>
        </w:numPr>
        <w:spacing w:after="90"/>
      </w:pPr>
      <w:r>
        <w:rPr>
          <w:rFonts w:ascii="Calibri" w:cs="Calibri" w:eastAsia="Calibri" w:hAnsi="Calibri"/>
          <w:color w:val="5C6678"/>
          <w:sz w:val="21"/>
          <w:szCs w:val="21"/>
        </w:rPr>
        <w:t xml:space="preserve">Test connection demo and what a successful balance-check actually means (5:30–6:30).</w:t>
      </w:r>
    </w:p>
    <w:p>
      <w:pPr>
        <w:pStyle w:val="ListParagraph"/>
        <w:numPr>
          <w:ilvl w:val="0"/>
          <w:numId w:val="4"/>
        </w:numPr>
        <w:spacing w:after="90"/>
      </w:pPr>
      <w:r>
        <w:rPr>
          <w:rFonts w:ascii="Calibri" w:cs="Calibri" w:eastAsia="Calibri" w:hAnsi="Calibri"/>
          <w:color w:val="5C6678"/>
          <w:sz w:val="21"/>
          <w:szCs w:val="21"/>
        </w:rPr>
        <w:t xml:space="preserve">Close + transition to Lesson 6.2 (6:30–end).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by connecting back explicitly: "Remember the critical-result WhatsApp message from Module 1? This is where that connection actually gets built."</w:t>
      </w:r>
    </w:p>
    <w:p>
      <w:pPr>
        <w:pStyle w:val="ListParagraph"/>
        <w:numPr>
          <w:ilvl w:val="0"/>
          <w:numId w:val="3"/>
        </w:numPr>
        <w:spacing w:after="90"/>
      </w:pPr>
      <w:r>
        <w:rPr>
          <w:rFonts w:ascii="Calibri" w:cs="Calibri" w:eastAsia="Calibri" w:hAnsi="Calibri"/>
          <w:color w:val="5C6678"/>
          <w:sz w:val="21"/>
          <w:szCs w:val="21"/>
        </w:rPr>
        <w:t xml:space="preserve">At sender ID registration, state the timing as a planning rule out loud: "24 to 48 hours — write that down, and start this step early, not the week of launch."</w:t>
      </w:r>
    </w:p>
    <w:p>
      <w:pPr>
        <w:pStyle w:val="ListParagraph"/>
        <w:numPr>
          <w:ilvl w:val="0"/>
          <w:numId w:val="3"/>
        </w:numPr>
        <w:spacing w:after="90"/>
      </w:pPr>
      <w:r>
        <w:rPr>
          <w:rFonts w:ascii="Calibri" w:cs="Calibri" w:eastAsia="Calibri" w:hAnsi="Calibri"/>
          <w:color w:val="5C6678"/>
          <w:sz w:val="21"/>
          <w:szCs w:val="21"/>
        </w:rPr>
        <w:t xml:space="preserve">When clicking Test connection, narrate what's actually happening: "This isn't just checking the format of what I typed — it's making a real call to Termii to confirm the account itself is valid."</w:t>
      </w:r>
    </w:p>
    <w:p>
      <w:pPr>
        <w:pStyle w:val="ListParagraph"/>
        <w:numPr>
          <w:ilvl w:val="0"/>
          <w:numId w:val="3"/>
        </w:numPr>
        <w:spacing w:after="90"/>
      </w:pPr>
      <w:r>
        <w:rPr>
          <w:rFonts w:ascii="Calibri" w:cs="Calibri" w:eastAsia="Calibri" w:hAnsi="Calibri"/>
          <w:color w:val="5C6678"/>
          <w:sz w:val="21"/>
          <w:szCs w:val="21"/>
        </w:rPr>
        <w:t xml:space="preserve">Close with a practical planning tip: "If you're setting up a new laboratory, this is one of the very first things to start — not something to leave until the end."</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Show the Termii dashboard (or a representative mockup) — account creation and verification screen.</w:t>
      </w:r>
    </w:p>
    <w:p>
      <w:pPr>
        <w:pStyle w:val="ListParagraph"/>
        <w:numPr>
          <w:ilvl w:val="0"/>
          <w:numId w:val="5"/>
        </w:numPr>
        <w:spacing w:after="90"/>
      </w:pPr>
      <w:r>
        <w:rPr>
          <w:rFonts w:ascii="Calibri" w:cs="Calibri" w:eastAsia="Calibri" w:hAnsi="Calibri"/>
          <w:color w:val="5C6678"/>
          <w:sz w:val="21"/>
          <w:szCs w:val="21"/>
        </w:rPr>
        <w:t xml:space="preserve">Show the sender ID registration form, pointing out the character-limit and capitalisation constraints.</w:t>
      </w:r>
    </w:p>
    <w:p>
      <w:pPr>
        <w:pStyle w:val="ListParagraph"/>
        <w:numPr>
          <w:ilvl w:val="0"/>
          <w:numId w:val="5"/>
        </w:numPr>
        <w:spacing w:after="90"/>
      </w:pPr>
      <w:r>
        <w:rPr>
          <w:rFonts w:ascii="Calibri" w:cs="Calibri" w:eastAsia="Calibri" w:hAnsi="Calibri"/>
          <w:color w:val="5C6678"/>
          <w:sz w:val="21"/>
          <w:szCs w:val="21"/>
        </w:rPr>
        <w:t xml:space="preserve">Show the WhatsApp Business number linking step.</w:t>
      </w:r>
    </w:p>
    <w:p>
      <w:pPr>
        <w:pStyle w:val="ListParagraph"/>
        <w:numPr>
          <w:ilvl w:val="0"/>
          <w:numId w:val="5"/>
        </w:numPr>
        <w:spacing w:after="90"/>
      </w:pPr>
      <w:r>
        <w:rPr>
          <w:rFonts w:ascii="Calibri" w:cs="Calibri" w:eastAsia="Calibri" w:hAnsi="Calibri"/>
          <w:color w:val="5C6678"/>
          <w:sz w:val="21"/>
          <w:szCs w:val="21"/>
        </w:rPr>
        <w:t xml:space="preserve">Switch to LabOS, open Integrations → Termii, enter the API key, sender ID, and WhatsApp number, click Save.</w:t>
      </w:r>
    </w:p>
    <w:p>
      <w:pPr>
        <w:pStyle w:val="ListParagraph"/>
        <w:numPr>
          <w:ilvl w:val="0"/>
          <w:numId w:val="5"/>
        </w:numPr>
        <w:spacing w:after="90"/>
      </w:pPr>
      <w:r>
        <w:rPr>
          <w:rFonts w:ascii="Calibri" w:cs="Calibri" w:eastAsia="Calibri" w:hAnsi="Calibri"/>
          <w:color w:val="5C6678"/>
          <w:sz w:val="21"/>
          <w:szCs w:val="21"/>
        </w:rPr>
        <w:t xml:space="preserve">Click Test connection, show the resulting success confirmation.</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Termii setup happens outside LabOS first — account, wallet, sender ID, WhatsApp verification.</w:t>
      </w:r>
    </w:p>
    <w:p>
      <w:pPr>
        <w:pStyle w:val="ListParagraph"/>
        <w:numPr>
          <w:ilvl w:val="0"/>
          <w:numId w:val="3"/>
        </w:numPr>
        <w:spacing w:after="90"/>
      </w:pPr>
      <w:r>
        <w:rPr>
          <w:rFonts w:ascii="Calibri" w:cs="Calibri" w:eastAsia="Calibri" w:hAnsi="Calibri"/>
          <w:color w:val="5C6678"/>
          <w:sz w:val="21"/>
          <w:szCs w:val="21"/>
        </w:rPr>
        <w:t xml:space="preserve">Sender ID approval takes 24–48 hours — start early.</w:t>
      </w:r>
    </w:p>
    <w:p>
      <w:pPr>
        <w:pStyle w:val="ListParagraph"/>
        <w:numPr>
          <w:ilvl w:val="0"/>
          <w:numId w:val="3"/>
        </w:numPr>
        <w:spacing w:after="90"/>
      </w:pPr>
      <w:r>
        <w:rPr>
          <w:rFonts w:ascii="Calibri" w:cs="Calibri" w:eastAsia="Calibri" w:hAnsi="Calibri"/>
          <w:color w:val="5C6678"/>
          <w:sz w:val="21"/>
          <w:szCs w:val="21"/>
        </w:rPr>
        <w:t xml:space="preserve">Budget Termii wallet funding against real, not nominal, message volume.</w:t>
      </w:r>
    </w:p>
    <w:p>
      <w:pPr>
        <w:pStyle w:val="ListParagraph"/>
        <w:numPr>
          <w:ilvl w:val="0"/>
          <w:numId w:val="3"/>
        </w:numPr>
        <w:spacing w:after="90"/>
      </w:pPr>
      <w:r>
        <w:rPr>
          <w:rFonts w:ascii="Calibri" w:cs="Calibri" w:eastAsia="Calibri" w:hAnsi="Calibri"/>
          <w:color w:val="5C6678"/>
          <w:sz w:val="21"/>
          <w:szCs w:val="21"/>
        </w:rPr>
        <w:t xml:space="preserve">Test connection performs a genuine balance-check — trust a successful result.</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Simple timeline graphic showing account creation → wallet top-up → sender ID submission → 24–48hr wait → approval → LabOS connection, with the approval wait visually emphasised.</w:t>
      </w:r>
    </w:p>
    <w:p>
      <w:pPr>
        <w:pStyle w:val="ListParagraph"/>
        <w:numPr>
          <w:ilvl w:val="0"/>
          <w:numId w:val="3"/>
        </w:numPr>
        <w:spacing w:after="90"/>
      </w:pPr>
      <w:r>
        <w:rPr>
          <w:rFonts w:ascii="Calibri" w:cs="Calibri" w:eastAsia="Calibri" w:hAnsi="Calibri"/>
          <w:color w:val="5C6678"/>
          <w:sz w:val="21"/>
          <w:szCs w:val="21"/>
        </w:rPr>
        <w:t xml:space="preserve">Sender ID format card: "Max 11 characters · ALL CAPS · No spaces" as a clean reference graphic.</w:t>
      </w:r>
    </w:p>
    <w:p>
      <w:pPr>
        <w:pStyle w:val="ListParagraph"/>
        <w:numPr>
          <w:ilvl w:val="0"/>
          <w:numId w:val="3"/>
        </w:numPr>
        <w:spacing w:after="90"/>
      </w:pPr>
      <w:r>
        <w:rPr>
          <w:rFonts w:ascii="Calibri" w:cs="Calibri" w:eastAsia="Calibri" w:hAnsi="Calibri"/>
          <w:color w:val="5C6678"/>
          <w:sz w:val="21"/>
          <w:szCs w:val="21"/>
        </w:rPr>
        <w:t xml:space="preserve">Split-screen during the LabOS configuration step: Termii dashboard (source of credentials) on one side, LabOS Integrations screen (destination) on the other.</w:t>
      </w:r>
    </w:p>
    <w:p>
      <w:r>
        <w:br w:type="page"/>
      </w:r>
    </w:p>
    <w:p>
      <w:pPr>
        <w:spacing w:after="60"/>
      </w:pPr>
      <w:r>
        <w:rPr>
          <w:rFonts w:ascii="Calibri" w:cs="Calibri" w:eastAsia="Calibri" w:hAnsi="Calibri"/>
          <w:b/>
          <w:bCs/>
          <w:color w:val="A8552E"/>
          <w:spacing w:val="14"/>
          <w:sz w:val="17"/>
          <w:szCs w:val="17"/>
        </w:rPr>
        <w:t xml:space="preserve">LESSON 6.2</w:t>
      </w:r>
    </w:p>
    <w:p>
      <w:pPr>
        <w:pStyle w:val="Heading1"/>
      </w:pPr>
      <w:r>
        <w:rPr>
          <w:rFonts w:ascii="Calibri" w:cs="Calibri" w:eastAsia="Calibri" w:hAnsi="Calibri"/>
        </w:rPr>
        <w:t xml:space="preserve">Connecting Payments and Insurance: Paystack and NHIS Portal</w:t>
      </w:r>
    </w:p>
    <w:p>
      <w:pPr>
        <w:spacing w:after="200"/>
      </w:pPr>
      <w:r>
        <w:rPr>
          <w:rFonts w:ascii="Calibri" w:cs="Calibri" w:eastAsia="Calibri" w:hAnsi="Calibri"/>
          <w:color w:val="5C6678"/>
          <w:sz w:val="23"/>
          <w:szCs w:val="23"/>
        </w:rPr>
        <w:t xml:space="preserve">This lesson covers connecting the two integrations that move money and authorise care — Paystack, with its emphasis on security and signed verification, and the NHIS Portal, with its emphasis on accreditation prerequisites and claim-format precision.</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connecting Paystack with proper test-mode discipline and webhook signature security, and understanding the NHIS Portal integration's prerequisites and common pitfalls. By the end, a learner should be able to set up Paystack correctly and securely, and explain what an NHIS Portal integration actually submits and where claim friction typically originates.</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Module 5 covered how billing works once Paystack and NHIS connections already exist; this lesson covers actually building those connections, with a level of technical care that billing operations alone don't require. A payment integration that isn't properly secured — accepting any callback as genuine without verifying its signature — is a fraud risk, not just a configuration gap. An NHIS integration that isn't set up against the correct accreditation and field-format requirements doesn't fail loudly; it fails quietly, in the form of claims that take longer to process or get rejected for reasons that look mysterious unless you understand the underlying requirements this lesson covers.</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Paystack test versus live keys, and the discipline of always starting in test mode with Paystack's published test card numbers.</w:t>
      </w:r>
    </w:p>
    <w:p>
      <w:pPr>
        <w:pStyle w:val="ListParagraph"/>
        <w:numPr>
          <w:ilvl w:val="0"/>
          <w:numId w:val="3"/>
        </w:numPr>
        <w:spacing w:after="90"/>
      </w:pPr>
      <w:r>
        <w:rPr>
          <w:rFonts w:ascii="Calibri" w:cs="Calibri" w:eastAsia="Calibri" w:hAnsi="Calibri"/>
          <w:color w:val="5C6678"/>
          <w:sz w:val="21"/>
          <w:szCs w:val="21"/>
        </w:rPr>
        <w:t xml:space="preserve">Paystack account creation and KYC verification (CAC, BVN, bank account).</w:t>
      </w:r>
    </w:p>
    <w:p>
      <w:pPr>
        <w:pStyle w:val="ListParagraph"/>
        <w:numPr>
          <w:ilvl w:val="0"/>
          <w:numId w:val="3"/>
        </w:numPr>
        <w:spacing w:after="90"/>
      </w:pPr>
      <w:r>
        <w:rPr>
          <w:rFonts w:ascii="Calibri" w:cs="Calibri" w:eastAsia="Calibri" w:hAnsi="Calibri"/>
          <w:color w:val="5C6678"/>
          <w:sz w:val="21"/>
          <w:szCs w:val="21"/>
        </w:rPr>
        <w:t xml:space="preserve">Copying public and secret keys into LabOS, and configuring the callback URL on both sides.</w:t>
      </w:r>
    </w:p>
    <w:p>
      <w:pPr>
        <w:pStyle w:val="ListParagraph"/>
        <w:numPr>
          <w:ilvl w:val="0"/>
          <w:numId w:val="3"/>
        </w:numPr>
        <w:spacing w:after="90"/>
      </w:pPr>
      <w:r>
        <w:rPr>
          <w:rFonts w:ascii="Calibri" w:cs="Calibri" w:eastAsia="Calibri" w:hAnsi="Calibri"/>
          <w:color w:val="5C6678"/>
          <w:sz w:val="21"/>
          <w:szCs w:val="21"/>
        </w:rPr>
        <w:t xml:space="preserve">Paystack webhook security: HMAC-SHA512 signature verification, and never trusting an unsigned callback.</w:t>
      </w:r>
    </w:p>
    <w:p>
      <w:pPr>
        <w:pStyle w:val="ListParagraph"/>
        <w:numPr>
          <w:ilvl w:val="0"/>
          <w:numId w:val="3"/>
        </w:numPr>
        <w:spacing w:after="90"/>
      </w:pPr>
      <w:r>
        <w:rPr>
          <w:rFonts w:ascii="Calibri" w:cs="Calibri" w:eastAsia="Calibri" w:hAnsi="Calibri"/>
          <w:color w:val="5C6678"/>
          <w:sz w:val="21"/>
          <w:szCs w:val="21"/>
        </w:rPr>
        <w:t xml:space="preserve">NHIS Portal prerequisites: NHIA accreditation and Provider ID format.</w:t>
      </w:r>
    </w:p>
    <w:p>
      <w:pPr>
        <w:pStyle w:val="ListParagraph"/>
        <w:numPr>
          <w:ilvl w:val="0"/>
          <w:numId w:val="3"/>
        </w:numPr>
        <w:spacing w:after="90"/>
      </w:pPr>
      <w:r>
        <w:rPr>
          <w:rFonts w:ascii="Calibri" w:cs="Calibri" w:eastAsia="Calibri" w:hAnsi="Calibri"/>
          <w:color w:val="5C6678"/>
          <w:sz w:val="21"/>
          <w:szCs w:val="21"/>
        </w:rPr>
        <w:t xml:space="preserve">What LabOS submits to the NHIS Portal: eligibility checks, pre-authorisation requests, claim submissions, and claim-status polling.</w:t>
      </w:r>
    </w:p>
    <w:p>
      <w:pPr>
        <w:pStyle w:val="ListParagraph"/>
        <w:numPr>
          <w:ilvl w:val="0"/>
          <w:numId w:val="3"/>
        </w:numPr>
        <w:spacing w:after="90"/>
      </w:pPr>
      <w:r>
        <w:rPr>
          <w:rFonts w:ascii="Calibri" w:cs="Calibri" w:eastAsia="Calibri" w:hAnsi="Calibri"/>
          <w:color w:val="5C6678"/>
          <w:sz w:val="21"/>
          <w:szCs w:val="21"/>
        </w:rPr>
        <w:t xml:space="preserve">Common NHIS integration pitfalls: card-number format mismatches, short authorisation validity windows, and manual batch reconciliation.</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Connecting Paystack with proper test-mode discipline</w:t>
      </w:r>
    </w:p>
    <w:p>
      <w:pPr>
        <w:spacing w:after="160"/>
      </w:pPr>
      <w:r>
        <w:rPr>
          <w:rFonts w:ascii="Calibri" w:cs="Calibri" w:eastAsia="Calibri" w:hAnsi="Calibri"/>
          <w:color w:val="5C6678"/>
          <w:sz w:val="21"/>
          <w:szCs w:val="21"/>
        </w:rPr>
        <w:t xml:space="preserve">Paystack issues both test and live API keys, and the correct practice — stated unambiguously — is to always begin in test mode, using Paystack's own published test card numbers, and only switch to live keys once the integration is fully verified end to end. Setting up the account itself requires completing Paystack's KYC verification, covering CAC (Corporate Affairs Commission registration), BVN (Bank Verification Number), and bank account details — this is Paystack's own regulatory requirement as a licensed payment processor, not a LabOS-specific step. From the Paystack dashboard, the public key (prefixed pk_test_ or pk_live_) and secret key (prefixed sk_test_ or sk_live_) are copied into LabOS under Integrations → Paystack, and the callback URL — the address Paystack calls after a payment completes — must be set consistently in both LabOS and the Paystack dashboard itself, defaulting to a pattern like https://yourlab.labos.africa/paystack/callback.</w:t>
      </w:r>
    </w:p>
    <w:p>
      <w:pPr>
        <w:spacing w:after="100" w:before="220"/>
      </w:pPr>
      <w:r>
        <w:rPr>
          <w:rFonts w:ascii="Calibri" w:cs="Calibri" w:eastAsia="Calibri" w:hAnsi="Calibri"/>
          <w:b/>
          <w:bCs/>
          <w:color w:val="0E1F33"/>
          <w:sz w:val="20"/>
          <w:szCs w:val="20"/>
        </w:rPr>
        <w:t xml:space="preserve">Understanding why webhook signature verification is non-negotiable</w:t>
      </w:r>
    </w:p>
    <w:p>
      <w:pPr>
        <w:spacing w:after="160"/>
      </w:pPr>
      <w:r>
        <w:rPr>
          <w:rFonts w:ascii="Calibri" w:cs="Calibri" w:eastAsia="Calibri" w:hAnsi="Calibri"/>
          <w:color w:val="5C6678"/>
          <w:sz w:val="21"/>
          <w:szCs w:val="21"/>
        </w:rPr>
        <w:t xml:space="preserve">Every Paystack callback is signed with an HMAC-SHA512 hash of your secret key, and LabOS's server validates this signature before trusting any callback's contents. This matters because a payment webhook endpoint is, by necessity, a publicly reachable URL — and without signature verification, anyone who discovered that URL could send a fake "payment successful" callback and potentially trigger LabOS to treat an unpaid invoice as paid. Signature verification is what allows LabOS to distinguish a genuine callback, actually originating from Paystack and signed with your specific secret key, from a forged one — which is precisely why the rule is stated as absolute: never trust an unsigned callback, with no exceptions for convenience or perceived low risk.</w:t>
      </w:r>
    </w:p>
    <w:p>
      <w:pPr>
        <w:spacing w:after="100" w:before="220"/>
      </w:pPr>
      <w:r>
        <w:rPr>
          <w:rFonts w:ascii="Calibri" w:cs="Calibri" w:eastAsia="Calibri" w:hAnsi="Calibri"/>
          <w:b/>
          <w:bCs/>
          <w:color w:val="0E1F33"/>
          <w:sz w:val="20"/>
          <w:szCs w:val="20"/>
        </w:rPr>
        <w:t xml:space="preserve">Meeting NHIS Portal's accreditation prerequisite</w:t>
      </w:r>
    </w:p>
    <w:p>
      <w:pPr>
        <w:spacing w:after="160"/>
      </w:pPr>
      <w:r>
        <w:rPr>
          <w:rFonts w:ascii="Calibri" w:cs="Calibri" w:eastAsia="Calibri" w:hAnsi="Calibri"/>
          <w:color w:val="5C6678"/>
          <w:sz w:val="21"/>
          <w:szCs w:val="21"/>
        </w:rPr>
        <w:t xml:space="preserve">Before any NHIS Portal integration work begins, the laboratory itself must already be NHIA-accredited, with a Provider ID in a specific format (for example, NHIA/LAGOS/000000) — this is an organisational accreditation prerequisite, not a technical setup step, and it cannot be worked around at the integration level. Each contracted HMO beyond the base NHIS accreditation issues its own separate code, meaning a laboratory working with multiple HMOs is managing multiple distinct provider identities, not one. Once accredited, LabOS submits four categories of request through the integration: real-time eligibility checks, pre-authorisation requests, claim submissions, and claim-status polling — with each submission requiring a specific set of fields: encounter date, NHIS card number, ICD-10 diagnosis code, test codes, and charges.</w:t>
      </w:r>
    </w:p>
    <w:p>
      <w:pPr>
        <w:spacing w:after="100" w:before="220"/>
      </w:pPr>
      <w:r>
        <w:rPr>
          <w:rFonts w:ascii="Calibri" w:cs="Calibri" w:eastAsia="Calibri" w:hAnsi="Calibri"/>
          <w:b/>
          <w:bCs/>
          <w:color w:val="0E1F33"/>
          <w:sz w:val="20"/>
          <w:szCs w:val="20"/>
        </w:rPr>
        <w:t xml:space="preserve">Anticipating the pitfalls that cause real claim friction</w:t>
      </w:r>
    </w:p>
    <w:p>
      <w:pPr>
        <w:spacing w:after="160"/>
      </w:pPr>
      <w:r>
        <w:rPr>
          <w:rFonts w:ascii="Calibri" w:cs="Calibri" w:eastAsia="Calibri" w:hAnsi="Calibri"/>
          <w:color w:val="5C6678"/>
          <w:sz w:val="21"/>
          <w:szCs w:val="21"/>
        </w:rPr>
        <w:t xml:space="preserve">Three specific, named pitfalls account for most NHIS integration friction in practice. First, card number format varies by HMO — some expect spaces, others don't — and a mismatch here causes an otherwise-valid claim to fail on a technicality unrelated to actual eligibility. Second, authorisation codes carry a short validity window, often as little as 24 hours, meaning a pre-authorisation obtained today may already be expired if the patient's actual visit is delayed — this needs to be planned into scheduling, not discovered as a rejection after the fact. Third, reconciliation is explicitly manual: HMOs pay in batches rather than per-claim, so matching incoming payments against submitted claims is a weekly task an administrator must perform deliberately, directly connecting to the claim-lifecycle monitoring discipline introduced in Module 5.</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complete and verify the full Paystack integration in test mode, using published test cards, before ever switching to live keys.</w:t>
      </w:r>
    </w:p>
    <w:p>
      <w:pPr>
        <w:pStyle w:val="ListParagraph"/>
        <w:numPr>
          <w:ilvl w:val="0"/>
          <w:numId w:val="3"/>
        </w:numPr>
        <w:spacing w:after="90"/>
      </w:pPr>
      <w:r>
        <w:rPr>
          <w:rFonts w:ascii="Calibri" w:cs="Calibri" w:eastAsia="Calibri" w:hAnsi="Calibri"/>
          <w:color w:val="5C6678"/>
          <w:sz w:val="21"/>
          <w:szCs w:val="21"/>
        </w:rPr>
        <w:t xml:space="preserve">Treat webhook signature verification as a hard requirement with zero exceptions — never disable or bypass it for convenience during testing or troubleshooting.</w:t>
      </w:r>
    </w:p>
    <w:p>
      <w:pPr>
        <w:pStyle w:val="ListParagraph"/>
        <w:numPr>
          <w:ilvl w:val="0"/>
          <w:numId w:val="3"/>
        </w:numPr>
        <w:spacing w:after="90"/>
      </w:pPr>
      <w:r>
        <w:rPr>
          <w:rFonts w:ascii="Calibri" w:cs="Calibri" w:eastAsia="Calibri" w:hAnsi="Calibri"/>
          <w:color w:val="5C6678"/>
          <w:sz w:val="21"/>
          <w:szCs w:val="21"/>
        </w:rPr>
        <w:t xml:space="preserve">Confirm NHIA accreditation and your laboratory's exact Provider ID format before beginning any NHIS Portal integration work.</w:t>
      </w:r>
    </w:p>
    <w:p>
      <w:pPr>
        <w:pStyle w:val="ListParagraph"/>
        <w:numPr>
          <w:ilvl w:val="0"/>
          <w:numId w:val="3"/>
        </w:numPr>
        <w:spacing w:after="90"/>
      </w:pPr>
      <w:r>
        <w:rPr>
          <w:rFonts w:ascii="Calibri" w:cs="Calibri" w:eastAsia="Calibri" w:hAnsi="Calibri"/>
          <w:color w:val="5C6678"/>
          <w:sz w:val="21"/>
          <w:szCs w:val="21"/>
        </w:rPr>
        <w:t xml:space="preserve">Build authorisation-code validity windows into actual patient scheduling, not just into the integration's technical configuration.</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Pasting live Paystack keys directly into a new integration without first verifying the connection in test mode.</w:t>
      </w:r>
    </w:p>
    <w:p>
      <w:pPr>
        <w:pStyle w:val="ListParagraph"/>
        <w:numPr>
          <w:ilvl w:val="0"/>
          <w:numId w:val="3"/>
        </w:numPr>
        <w:spacing w:after="90"/>
      </w:pPr>
      <w:r>
        <w:rPr>
          <w:rFonts w:ascii="Calibri" w:cs="Calibri" w:eastAsia="Calibri" w:hAnsi="Calibri"/>
          <w:color w:val="5C6678"/>
          <w:sz w:val="21"/>
          <w:szCs w:val="21"/>
        </w:rPr>
        <w:t xml:space="preserve">Disabling or ignoring webhook signature verification "temporarily" during troubleshooting and forgetting to re-enable it.</w:t>
      </w:r>
    </w:p>
    <w:p>
      <w:pPr>
        <w:pStyle w:val="ListParagraph"/>
        <w:numPr>
          <w:ilvl w:val="0"/>
          <w:numId w:val="3"/>
        </w:numPr>
        <w:spacing w:after="90"/>
      </w:pPr>
      <w:r>
        <w:rPr>
          <w:rFonts w:ascii="Calibri" w:cs="Calibri" w:eastAsia="Calibri" w:hAnsi="Calibri"/>
          <w:color w:val="5C6678"/>
          <w:sz w:val="21"/>
          <w:szCs w:val="21"/>
        </w:rPr>
        <w:t xml:space="preserve">Beginning NHIS Portal integration work before confirming the laboratory's NHIA accreditation status and exact Provider ID format.</w:t>
      </w:r>
    </w:p>
    <w:p>
      <w:pPr>
        <w:pStyle w:val="ListParagraph"/>
        <w:numPr>
          <w:ilvl w:val="0"/>
          <w:numId w:val="3"/>
        </w:numPr>
        <w:spacing w:after="90"/>
      </w:pPr>
      <w:r>
        <w:rPr>
          <w:rFonts w:ascii="Calibri" w:cs="Calibri" w:eastAsia="Calibri" w:hAnsi="Calibri"/>
          <w:color w:val="5C6678"/>
          <w:sz w:val="21"/>
          <w:szCs w:val="21"/>
        </w:rPr>
        <w:t xml:space="preserve">Treating an authorisation code as valid indefinitely rather than tracking its short, often 24-hour, validity window against the actual scheduled visit.</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6.2 — SECURE TWO INTEGRATIONS</w:t>
            </w:r>
          </w:p>
          <w:p>
            <w:r>
              <w:rPr>
                <w:rFonts w:ascii="Calibri" w:cs="Calibri" w:eastAsia="Calibri" w:hAnsi="Calibri"/>
                <w:i/>
                <w:iCs/>
                <w:color w:val="0E1F33"/>
                <w:sz w:val="21"/>
                <w:szCs w:val="21"/>
              </w:rPr>
              <w:t xml:space="preserve">Using Paystack's published test-mode documentation, write out the complete sequence from account creation through a verified test-mode connection in LabOS, explicitly noting at which step you would switch to live keys and why not sooner. Explain in two to three sentences, in your own words, what HMAC-SHA512 webhook signature verification actually protects against, using a concrete example of what could go wrong without it. Separately, list your laboratory's (real or hypothetical) NHIA Provider ID format and identify which of the three named NHIS pitfalls (card-number format, authorisation validity window, manual reconciliation) you believe would be the easiest to overlook, with a one-sentence justification.</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Paystack integration documentation insist on starting in test mode rather than going directly to live keys?</w:t>
      </w:r>
    </w:p>
    <w:p>
      <w:pPr>
        <w:spacing w:after="60"/>
      </w:pPr>
      <w:r>
        <w:rPr>
          <w:rFonts w:ascii="Calibri" w:cs="Calibri" w:eastAsia="Calibri" w:hAnsi="Calibri"/>
          <w:color w:val="5C6678"/>
          <w:sz w:val="20"/>
          <w:szCs w:val="20"/>
        </w:rPr>
        <w:t xml:space="preserve">Because test mode lets an administrator verify the entire connection — keys, callback URL, webhook handling — using published test cards with no real financial risk, catching configuration mistakes before they could affect real patient payments; going directly to live keys means any mistake happens with real money at stake.</w:t>
      </w:r>
    </w:p>
    <w:p>
      <w:pPr>
        <w:spacing w:after="50" w:before="140"/>
      </w:pPr>
      <w:r>
        <w:rPr>
          <w:rFonts w:ascii="Calibri" w:cs="Calibri" w:eastAsia="Calibri" w:hAnsi="Calibri"/>
          <w:b/>
          <w:bCs/>
          <w:color w:val="0E1F33"/>
          <w:sz w:val="21"/>
          <w:szCs w:val="21"/>
        </w:rPr>
        <w:t xml:space="preserve">2. What specifically does HMAC-SHA512 webhook signature verification protect a laboratory against?</w:t>
      </w:r>
    </w:p>
    <w:p>
      <w:pPr>
        <w:spacing w:after="60"/>
      </w:pPr>
      <w:r>
        <w:rPr>
          <w:rFonts w:ascii="Calibri" w:cs="Calibri" w:eastAsia="Calibri" w:hAnsi="Calibri"/>
          <w:color w:val="5C6678"/>
          <w:sz w:val="20"/>
          <w:szCs w:val="20"/>
        </w:rPr>
        <w:t xml:space="preserve">It protects against a forged payment callback — since the webhook endpoint is necessarily a publicly reachable URL, signature verification is what allows LabOS to confirm a callback genuinely originated from Paystack (signed with the correct secret key) rather than being a fake "payment successful" message sent by someone who simply discovered the callback URL.</w:t>
      </w:r>
    </w:p>
    <w:p>
      <w:pPr>
        <w:spacing w:after="50" w:before="140"/>
      </w:pPr>
      <w:r>
        <w:rPr>
          <w:rFonts w:ascii="Calibri" w:cs="Calibri" w:eastAsia="Calibri" w:hAnsi="Calibri"/>
          <w:b/>
          <w:bCs/>
          <w:color w:val="0E1F33"/>
          <w:sz w:val="21"/>
          <w:szCs w:val="21"/>
        </w:rPr>
        <w:t xml:space="preserve">3. A laboratory obtains NHIS pre-authorisation for a patient's test on Monday, but the patient's actual visit is rescheduled to the following Monday. What's the likely consequence, and why?</w:t>
      </w:r>
    </w:p>
    <w:p>
      <w:pPr>
        <w:spacing w:after="60"/>
      </w:pPr>
      <w:r>
        <w:rPr>
          <w:rFonts w:ascii="Calibri" w:cs="Calibri" w:eastAsia="Calibri" w:hAnsi="Calibri"/>
          <w:color w:val="5C6678"/>
          <w:sz w:val="20"/>
          <w:szCs w:val="20"/>
        </w:rPr>
        <w:t xml:space="preserve">The authorisation code has very likely expired, since these codes often carry a validity window as short as 24 hours — the laboratory will likely need to obtain a new pre-authorisation rather than relying on the original one, which is exactly why authorisation timing needs to be planned against the actual visit date, not just obtained as early as possible.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6.2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"Connecting Payments and Insurance: Paystack and NHIS Portal" — CLA Module 6,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set up Paystack securely with proper test-mode discipline and webhook verification, and understand NHIS Portal prerequisites and pitfalls.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security-focused segment delivered partly to camera for emphasis</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(0:00–0:40) — "This lesson is about money and medical authorisation — get it wrong here and the stakes are real."</w:t>
      </w:r>
    </w:p>
    <w:p>
      <w:pPr>
        <w:pStyle w:val="ListParagraph"/>
        <w:numPr>
          <w:ilvl w:val="0"/>
          <w:numId w:val="6"/>
        </w:numPr>
        <w:spacing w:after="90"/>
      </w:pPr>
      <w:r>
        <w:rPr>
          <w:rFonts w:ascii="Calibri" w:cs="Calibri" w:eastAsia="Calibri" w:hAnsi="Calibri"/>
          <w:color w:val="5C6678"/>
          <w:sz w:val="21"/>
          <w:szCs w:val="21"/>
        </w:rPr>
        <w:t xml:space="preserve">Paystack test-mode setup, live demo using test cards (0:40–3:00).</w:t>
      </w:r>
    </w:p>
    <w:p>
      <w:pPr>
        <w:pStyle w:val="ListParagraph"/>
        <w:numPr>
          <w:ilvl w:val="0"/>
          <w:numId w:val="6"/>
        </w:numPr>
        <w:spacing w:after="90"/>
      </w:pPr>
      <w:r>
        <w:rPr>
          <w:rFonts w:ascii="Calibri" w:cs="Calibri" w:eastAsia="Calibri" w:hAnsi="Calibri"/>
          <w:color w:val="5C6678"/>
          <w:sz w:val="21"/>
          <w:szCs w:val="21"/>
        </w:rPr>
        <w:t xml:space="preserve">Webhook signature verification, explained directly to camera with a concrete forged-callback scenario (3:00–4:30).</w:t>
      </w:r>
    </w:p>
    <w:p>
      <w:pPr>
        <w:pStyle w:val="ListParagraph"/>
        <w:numPr>
          <w:ilvl w:val="0"/>
          <w:numId w:val="6"/>
        </w:numPr>
        <w:spacing w:after="90"/>
      </w:pPr>
      <w:r>
        <w:rPr>
          <w:rFonts w:ascii="Calibri" w:cs="Calibri" w:eastAsia="Calibri" w:hAnsi="Calibri"/>
          <w:color w:val="5C6678"/>
          <w:sz w:val="21"/>
          <w:szCs w:val="21"/>
        </w:rPr>
        <w:t xml:space="preserve">Switching to live keys — the explicit go/no-go checklist (4:30–5:15).</w:t>
      </w:r>
    </w:p>
    <w:p>
      <w:pPr>
        <w:pStyle w:val="ListParagraph"/>
        <w:numPr>
          <w:ilvl w:val="0"/>
          <w:numId w:val="6"/>
        </w:numPr>
        <w:spacing w:after="90"/>
      </w:pPr>
      <w:r>
        <w:rPr>
          <w:rFonts w:ascii="Calibri" w:cs="Calibri" w:eastAsia="Calibri" w:hAnsi="Calibri"/>
          <w:color w:val="5C6678"/>
          <w:sz w:val="21"/>
          <w:szCs w:val="21"/>
        </w:rPr>
        <w:t xml:space="preserve">NHIS Portal prerequisites: accreditation and Provider ID, briefly (5:15–6:15).</w:t>
      </w:r>
    </w:p>
    <w:p>
      <w:pPr>
        <w:pStyle w:val="ListParagraph"/>
        <w:numPr>
          <w:ilvl w:val="0"/>
          <w:numId w:val="6"/>
        </w:numPr>
        <w:spacing w:after="90"/>
      </w:pPr>
      <w:r>
        <w:rPr>
          <w:rFonts w:ascii="Calibri" w:cs="Calibri" w:eastAsia="Calibri" w:hAnsi="Calibri"/>
          <w:color w:val="5C6678"/>
          <w:sz w:val="21"/>
          <w:szCs w:val="21"/>
        </w:rPr>
        <w:t xml:space="preserve">The three named pitfalls, each with a concrete example (6:15–8:30).</w:t>
      </w:r>
    </w:p>
    <w:p>
      <w:pPr>
        <w:pStyle w:val="ListParagraph"/>
        <w:numPr>
          <w:ilvl w:val="0"/>
          <w:numId w:val="6"/>
        </w:numPr>
        <w:spacing w:after="90"/>
      </w:pPr>
      <w:r>
        <w:rPr>
          <w:rFonts w:ascii="Calibri" w:cs="Calibri" w:eastAsia="Calibri" w:hAnsi="Calibri"/>
          <w:color w:val="5C6678"/>
          <w:sz w:val="21"/>
          <w:szCs w:val="21"/>
        </w:rPr>
        <w:t xml:space="preserve">Close + transition to Lesson 6.3 (8:30–end).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At test mode, be explicit about the rule: "Test cards, test keys, full verification — only then do we even think about switching to live."</w:t>
      </w:r>
    </w:p>
    <w:p>
      <w:pPr>
        <w:pStyle w:val="ListParagraph"/>
        <w:numPr>
          <w:ilvl w:val="0"/>
          <w:numId w:val="3"/>
        </w:numPr>
        <w:spacing w:after="90"/>
      </w:pPr>
      <w:r>
        <w:rPr>
          <w:rFonts w:ascii="Calibri" w:cs="Calibri" w:eastAsia="Calibri" w:hAnsi="Calibri"/>
          <w:color w:val="5C6678"/>
          <w:sz w:val="21"/>
          <w:szCs w:val="21"/>
        </w:rPr>
        <w:t xml:space="preserve">At webhook signing, use a concrete scenario: "Imagine someone finds your callback URL and sends a fake 'payment successful' message for an invoice that was never actually paid — this signature check is what stops that from working."</w:t>
      </w:r>
    </w:p>
    <w:p>
      <w:pPr>
        <w:pStyle w:val="ListParagraph"/>
        <w:numPr>
          <w:ilvl w:val="0"/>
          <w:numId w:val="3"/>
        </w:numPr>
        <w:spacing w:after="90"/>
      </w:pPr>
      <w:r>
        <w:rPr>
          <w:rFonts w:ascii="Calibri" w:cs="Calibri" w:eastAsia="Calibri" w:hAnsi="Calibri"/>
          <w:color w:val="5C6678"/>
          <w:sz w:val="21"/>
          <w:szCs w:val="21"/>
        </w:rPr>
        <w:t xml:space="preserve">At the NHIS accreditation prerequisite, be direct about sequencing: "This isn't a LabOS setting — if your lab isn't NHIA-accredited yet, this integration simply isn't ready to build, no matter how correctly you configure the rest."</w:t>
      </w:r>
    </w:p>
    <w:p>
      <w:pPr>
        <w:pStyle w:val="ListParagraph"/>
        <w:numPr>
          <w:ilvl w:val="0"/>
          <w:numId w:val="3"/>
        </w:numPr>
        <w:spacing w:after="90"/>
      </w:pPr>
      <w:r>
        <w:rPr>
          <w:rFonts w:ascii="Calibri" w:cs="Calibri" w:eastAsia="Calibri" w:hAnsi="Calibri"/>
          <w:color w:val="5C6678"/>
          <w:sz w:val="21"/>
          <w:szCs w:val="21"/>
        </w:rPr>
        <w:t xml:space="preserve">When covering the three pitfalls, number them explicitly on screen as you go, reinforcing they're a known, named, finite list — not an open-ended set of risks.</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Show the Paystack dashboard, KYC verification screen (briefly), and the test/live key toggle.</w:t>
      </w:r>
    </w:p>
    <w:p>
      <w:pPr>
        <w:pStyle w:val="ListParagraph"/>
        <w:numPr>
          <w:ilvl w:val="0"/>
          <w:numId w:val="7"/>
        </w:numPr>
        <w:spacing w:after="90"/>
      </w:pPr>
      <w:r>
        <w:rPr>
          <w:rFonts w:ascii="Calibri" w:cs="Calibri" w:eastAsia="Calibri" w:hAnsi="Calibri"/>
          <w:color w:val="5C6678"/>
          <w:sz w:val="21"/>
          <w:szCs w:val="21"/>
        </w:rPr>
        <w:t xml:space="preserve">Copy test keys into LabOS Integrations → Paystack, set the callback URL on both sides.</w:t>
      </w:r>
    </w:p>
    <w:p>
      <w:pPr>
        <w:pStyle w:val="ListParagraph"/>
        <w:numPr>
          <w:ilvl w:val="0"/>
          <w:numId w:val="7"/>
        </w:numPr>
        <w:spacing w:after="90"/>
      </w:pPr>
      <w:r>
        <w:rPr>
          <w:rFonts w:ascii="Calibri" w:cs="Calibri" w:eastAsia="Calibri" w:hAnsi="Calibri"/>
          <w:color w:val="5C6678"/>
          <w:sz w:val="21"/>
          <w:szCs w:val="21"/>
        </w:rPr>
        <w:t xml:space="preserve">Run a test transaction using a published Paystack test card, show the callback arriving and the invoice updating.</w:t>
      </w:r>
    </w:p>
    <w:p>
      <w:pPr>
        <w:pStyle w:val="ListParagraph"/>
        <w:numPr>
          <w:ilvl w:val="0"/>
          <w:numId w:val="7"/>
        </w:numPr>
        <w:spacing w:after="90"/>
      </w:pPr>
      <w:r>
        <w:rPr>
          <w:rFonts w:ascii="Calibri" w:cs="Calibri" w:eastAsia="Calibri" w:hAnsi="Calibri"/>
          <w:color w:val="5C6678"/>
          <w:sz w:val="21"/>
          <w:szCs w:val="21"/>
        </w:rPr>
        <w:t xml:space="preserve">Cut to a simple diagram illustrating a forged callback attempt being rejected due to signature mismatch.</w:t>
      </w:r>
    </w:p>
    <w:p>
      <w:pPr>
        <w:pStyle w:val="ListParagraph"/>
        <w:numPr>
          <w:ilvl w:val="0"/>
          <w:numId w:val="7"/>
        </w:numPr>
        <w:spacing w:after="90"/>
      </w:pPr>
      <w:r>
        <w:rPr>
          <w:rFonts w:ascii="Calibri" w:cs="Calibri" w:eastAsia="Calibri" w:hAnsi="Calibri"/>
          <w:color w:val="5C6678"/>
          <w:sz w:val="21"/>
          <w:szCs w:val="21"/>
        </w:rPr>
        <w:t xml:space="preserve">Show the NHIS Portal integration screen, pointing to the Provider ID field format.</w:t>
      </w:r>
    </w:p>
    <w:p>
      <w:pPr>
        <w:pStyle w:val="ListParagraph"/>
        <w:numPr>
          <w:ilvl w:val="0"/>
          <w:numId w:val="7"/>
        </w:numPr>
        <w:spacing w:after="90"/>
      </w:pPr>
      <w:r>
        <w:rPr>
          <w:rFonts w:ascii="Calibri" w:cs="Calibri" w:eastAsia="Calibri" w:hAnsi="Calibri"/>
          <w:color w:val="5C6678"/>
          <w:sz w:val="21"/>
          <w:szCs w:val="21"/>
        </w:rPr>
        <w:t xml:space="preserve">Cut to a three-item pitfall reference card, illustrating each with a brief example scenario.</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Always test-mode first with Paystack — switch to live only after full verification.</w:t>
      </w:r>
    </w:p>
    <w:p>
      <w:pPr>
        <w:pStyle w:val="ListParagraph"/>
        <w:numPr>
          <w:ilvl w:val="0"/>
          <w:numId w:val="3"/>
        </w:numPr>
        <w:spacing w:after="90"/>
      </w:pPr>
      <w:r>
        <w:rPr>
          <w:rFonts w:ascii="Calibri" w:cs="Calibri" w:eastAsia="Calibri" w:hAnsi="Calibri"/>
          <w:color w:val="5C6678"/>
          <w:sz w:val="21"/>
          <w:szCs w:val="21"/>
        </w:rPr>
        <w:t xml:space="preserve">Webhook signature verification is non-negotiable — it's what makes a callback trustworthy.</w:t>
      </w:r>
    </w:p>
    <w:p>
      <w:pPr>
        <w:pStyle w:val="ListParagraph"/>
        <w:numPr>
          <w:ilvl w:val="0"/>
          <w:numId w:val="3"/>
        </w:numPr>
        <w:spacing w:after="90"/>
      </w:pPr>
      <w:r>
        <w:rPr>
          <w:rFonts w:ascii="Calibri" w:cs="Calibri" w:eastAsia="Calibri" w:hAnsi="Calibri"/>
          <w:color w:val="5C6678"/>
          <w:sz w:val="21"/>
          <w:szCs w:val="21"/>
        </w:rPr>
        <w:t xml:space="preserve">NHIA accreditation is a prerequisite, not a configuration step — confirm it before starting NHIS Portal work.</w:t>
      </w:r>
    </w:p>
    <w:p>
      <w:pPr>
        <w:pStyle w:val="ListParagraph"/>
        <w:numPr>
          <w:ilvl w:val="0"/>
          <w:numId w:val="3"/>
        </w:numPr>
        <w:spacing w:after="90"/>
      </w:pPr>
      <w:r>
        <w:rPr>
          <w:rFonts w:ascii="Calibri" w:cs="Calibri" w:eastAsia="Calibri" w:hAnsi="Calibri"/>
          <w:color w:val="5C6678"/>
          <w:sz w:val="21"/>
          <w:szCs w:val="21"/>
        </w:rPr>
        <w:t xml:space="preserve">Three named NHIS pitfalls: card-number format, short authorisation windows, manual batch reconciliation.</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Test-mode vs. live-mode toggle shown as a clear two-state graphic with a checklist gating the switch.</w:t>
      </w:r>
    </w:p>
    <w:p>
      <w:pPr>
        <w:pStyle w:val="ListParagraph"/>
        <w:numPr>
          <w:ilvl w:val="0"/>
          <w:numId w:val="3"/>
        </w:numPr>
        <w:spacing w:after="90"/>
      </w:pPr>
      <w:r>
        <w:rPr>
          <w:rFonts w:ascii="Calibri" w:cs="Calibri" w:eastAsia="Calibri" w:hAnsi="Calibri"/>
          <w:color w:val="5C6678"/>
          <w:sz w:val="21"/>
          <w:szCs w:val="21"/>
        </w:rPr>
        <w:t xml:space="preserve">Simple "forged callback rejected" diagram: an attacker icon sending a fake callback, a shield icon (signature check) blocking it.</w:t>
      </w:r>
    </w:p>
    <w:p>
      <w:pPr>
        <w:pStyle w:val="ListParagraph"/>
        <w:numPr>
          <w:ilvl w:val="0"/>
          <w:numId w:val="3"/>
        </w:numPr>
        <w:spacing w:after="90"/>
      </w:pPr>
      <w:r>
        <w:rPr>
          <w:rFonts w:ascii="Calibri" w:cs="Calibri" w:eastAsia="Calibri" w:hAnsi="Calibri"/>
          <w:color w:val="5C6678"/>
          <w:sz w:val="21"/>
          <w:szCs w:val="21"/>
        </w:rPr>
        <w:t xml:space="preserve">Three-pitfall reference card (card-number format / authorisation window / manual reconciliation), reusable as a downloadable resource.</w:t>
      </w:r>
    </w:p>
    <w:p>
      <w:r>
        <w:br w:type="page"/>
      </w:r>
    </w:p>
    <w:p>
      <w:pPr>
        <w:spacing w:after="60"/>
      </w:pPr>
      <w:r>
        <w:rPr>
          <w:rFonts w:ascii="Calibri" w:cs="Calibri" w:eastAsia="Calibri" w:hAnsi="Calibri"/>
          <w:b/>
          <w:bCs/>
          <w:color w:val="A8552E"/>
          <w:spacing w:val="14"/>
          <w:sz w:val="17"/>
          <w:szCs w:val="17"/>
        </w:rPr>
        <w:t xml:space="preserve">LESSON 6.3</w:t>
      </w:r>
    </w:p>
    <w:p>
      <w:pPr>
        <w:pStyle w:val="Heading1"/>
      </w:pPr>
      <w:r>
        <w:rPr>
          <w:rFonts w:ascii="Calibri" w:cs="Calibri" w:eastAsia="Calibri" w:hAnsi="Calibri"/>
        </w:rPr>
        <w:t xml:space="preserve">Connecting Instruments and Email: HL7 and SMTP</w:t>
      </w:r>
    </w:p>
    <w:p>
      <w:pPr>
        <w:spacing w:after="200"/>
      </w:pPr>
      <w:r>
        <w:rPr>
          <w:rFonts w:ascii="Calibri" w:cs="Calibri" w:eastAsia="Calibri" w:hAnsi="Calibri"/>
          <w:color w:val="5C6678"/>
          <w:sz w:val="23"/>
          <w:szCs w:val="23"/>
        </w:rPr>
        <w:t xml:space="preserve">The final lesson in this module — and in Level 2 — covers the two integrations with the most genuine technical and network depth: the HL7 listener that lets instruments report results automatically, and the SMTP and DNS configuration that keeps outbound email out of patients' spam folders.</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configuring the HL7 listener for automated instrument result transfer, including its network security requirement, and choosing and correctly configuring an SMTP provider with the DNS authentication records modern email delivery depends on. By the end, a learner should be able to explain what HL7 actually automates and why its network exposure matters, and configure an outbound email setup that reliably reaches patients' inboxes rather than their spam folders.</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This lesson closes Level 2 on its two most technically demanding topics deliberately — by this point in the program, a learner has the administrative judgment from Modules 4 and 5 to understand why these technical details matter, not just how to configure them. Manual result transcription, which HL7 eliminates, was named back in Module 1's Instrument Gateway preview as one of the most common sources of patient harm in laboratory medicine — meaning this lesson's content has direct clinical safety stakes, not just operational convenience. Equally, an email that lands in spam isn't merely an inconvenience — for a laboratory relying on email as one of several patient-notification channels, silently failed delivery undermines exactly the reliable communication Module 4's WhatsApp-first delivery strategy was designed to ensure.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What HL7 automates: transfer of results from analyser to LIS without manual transcription.</w:t>
      </w:r>
    </w:p>
    <w:p>
      <w:pPr>
        <w:pStyle w:val="ListParagraph"/>
        <w:numPr>
          <w:ilvl w:val="0"/>
          <w:numId w:val="3"/>
        </w:numPr>
        <w:spacing w:after="90"/>
      </w:pPr>
      <w:r>
        <w:rPr>
          <w:rFonts w:ascii="Calibri" w:cs="Calibri" w:eastAsia="Calibri" w:hAnsi="Calibri"/>
          <w:color w:val="5C6678"/>
          <w:sz w:val="21"/>
          <w:szCs w:val="21"/>
        </w:rPr>
        <w:t xml:space="preserve">The HL7 plumbing: ORU^R01 messages sent over TCP using MLLP framing, matched to orders by accession number.</w:t>
      </w:r>
    </w:p>
    <w:p>
      <w:pPr>
        <w:pStyle w:val="ListParagraph"/>
        <w:numPr>
          <w:ilvl w:val="0"/>
          <w:numId w:val="3"/>
        </w:numPr>
        <w:spacing w:after="90"/>
      </w:pPr>
      <w:r>
        <w:rPr>
          <w:rFonts w:ascii="Calibri" w:cs="Calibri" w:eastAsia="Calibri" w:hAnsi="Calibri"/>
          <w:color w:val="5C6678"/>
          <w:sz w:val="21"/>
          <w:szCs w:val="21"/>
        </w:rPr>
        <w:t xml:space="preserve">HL7 listener configuration: host (typically 0.0.0.0), port (commonly 2575), ACK mode (AL), and UTF-8 encoding.</w:t>
      </w:r>
    </w:p>
    <w:p>
      <w:pPr>
        <w:pStyle w:val="ListParagraph"/>
        <w:numPr>
          <w:ilvl w:val="0"/>
          <w:numId w:val="3"/>
        </w:numPr>
        <w:spacing w:after="90"/>
      </w:pPr>
      <w:r>
        <w:rPr>
          <w:rFonts w:ascii="Calibri" w:cs="Calibri" w:eastAsia="Calibri" w:hAnsi="Calibri"/>
          <w:color w:val="5C6678"/>
          <w:sz w:val="21"/>
          <w:szCs w:val="21"/>
        </w:rPr>
        <w:t xml:space="preserve">Per-analyser test-code mapping, and how an unmapped code is logged for manual review rather than silently dropped.</w:t>
      </w:r>
    </w:p>
    <w:p>
      <w:pPr>
        <w:pStyle w:val="ListParagraph"/>
        <w:numPr>
          <w:ilvl w:val="0"/>
          <w:numId w:val="3"/>
        </w:numPr>
        <w:spacing w:after="90"/>
      </w:pPr>
      <w:r>
        <w:rPr>
          <w:rFonts w:ascii="Calibri" w:cs="Calibri" w:eastAsia="Calibri" w:hAnsi="Calibri"/>
          <w:color w:val="5C6678"/>
          <w:sz w:val="21"/>
          <w:szCs w:val="21"/>
        </w:rPr>
        <w:t xml:space="preserve">The explicit security requirement: never exposing the HL7 listener to the public internet; keeping it on a private VLAN.</w:t>
      </w:r>
    </w:p>
    <w:p>
      <w:pPr>
        <w:pStyle w:val="ListParagraph"/>
        <w:numPr>
          <w:ilvl w:val="0"/>
          <w:numId w:val="3"/>
        </w:numPr>
        <w:spacing w:after="90"/>
      </w:pPr>
      <w:r>
        <w:rPr>
          <w:rFonts w:ascii="Calibri" w:cs="Calibri" w:eastAsia="Calibri" w:hAnsi="Calibri"/>
          <w:color w:val="5C6678"/>
          <w:sz w:val="21"/>
          <w:szCs w:val="21"/>
        </w:rPr>
        <w:t xml:space="preserve">SMTP provider options: Gmail/Google Workspace, SendGrid, Mailgun, Amazon SES, and self-hosted, with their respective trade-offs.</w:t>
      </w:r>
    </w:p>
    <w:p>
      <w:pPr>
        <w:pStyle w:val="ListParagraph"/>
        <w:numPr>
          <w:ilvl w:val="0"/>
          <w:numId w:val="3"/>
        </w:numPr>
        <w:spacing w:after="90"/>
      </w:pPr>
      <w:r>
        <w:rPr>
          <w:rFonts w:ascii="Calibri" w:cs="Calibri" w:eastAsia="Calibri" w:hAnsi="Calibri"/>
          <w:color w:val="5C6678"/>
          <w:sz w:val="21"/>
          <w:szCs w:val="21"/>
        </w:rPr>
        <w:t xml:space="preserve">DNS authentication records: SPF, DKIM, and DMARC, and why their absence sends legitimate email to spam.</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Understanding what HL7 actually automates</w:t>
      </w:r>
    </w:p>
    <w:p>
      <w:pPr>
        <w:spacing w:after="160"/>
      </w:pPr>
      <w:r>
        <w:rPr>
          <w:rFonts w:ascii="Calibri" w:cs="Calibri" w:eastAsia="Calibri" w:hAnsi="Calibri"/>
          <w:color w:val="5C6678"/>
          <w:sz w:val="21"/>
          <w:szCs w:val="21"/>
        </w:rPr>
        <w:t xml:space="preserve">Without HL7, a medical laboratory scientist manually re-types each analyser result into LabOS — slow, and a genuine source of transcription disputes and, more seriously, transcription errors, named explicitly back in Module 1's Instrument Gateway content as a major cause of patient harm in laboratory medicine. HL7 eliminates this entirely: most analysers act as HL7 senders, pushing ORU^R01 (observation result) messages over a TCP socket using MLLP framing the moment a result is ready. LabOS listens for these messages, parses them, and matches each one to the correct order using its accession number — the same accession-number matching concept introduced in the Instrument Gateway's sample-matching discussion.</w:t>
      </w:r>
    </w:p>
    <w:p>
      <w:pPr>
        <w:spacing w:after="100" w:before="220"/>
      </w:pPr>
      <w:r>
        <w:rPr>
          <w:rFonts w:ascii="Calibri" w:cs="Calibri" w:eastAsia="Calibri" w:hAnsi="Calibri"/>
          <w:b/>
          <w:bCs/>
          <w:color w:val="0E1F33"/>
          <w:sz w:val="20"/>
          <w:szCs w:val="20"/>
        </w:rPr>
        <w:t xml:space="preserve">Configuring the listener correctly</w:t>
      </w:r>
    </w:p>
    <w:p>
      <w:pPr>
        <w:spacing w:after="160"/>
      </w:pPr>
      <w:r>
        <w:rPr>
          <w:rFonts w:ascii="Calibri" w:cs="Calibri" w:eastAsia="Calibri" w:hAnsi="Calibri"/>
          <w:color w:val="5C6678"/>
          <w:sz w:val="21"/>
          <w:szCs w:val="21"/>
        </w:rPr>
        <w:t xml:space="preserve">Setting this up in LabOS, under Integrations → HL7, means configuring four specific values: the listener host, typically set to 0.0.0.0 so it accepts connections from any analyser on the permitted network; the port, commonly 2575; the ACK mode, set to AL (meaning LabOS always sends an acknowledgement back to the analyser, confirming receipt); and the encoding, with UTF-8 considered the safe default. Each analyser uses its own internal test codes — for example, "HGB" on a Sysmex instrument — and LabOS maintains a per-analyser code-mapping table; when a result arrives with a code that isn't yet mapped, it is not silently discarded but logged for manual review, ensuring no result is simply lost due to an unrecognised code.</w:t>
      </w:r>
    </w:p>
    <w:p>
      <w:pPr>
        <w:spacing w:after="100" w:before="220"/>
      </w:pPr>
      <w:r>
        <w:rPr>
          <w:rFonts w:ascii="Calibri" w:cs="Calibri" w:eastAsia="Calibri" w:hAnsi="Calibri"/>
          <w:b/>
          <w:bCs/>
          <w:color w:val="0E1F33"/>
          <w:sz w:val="20"/>
          <w:szCs w:val="20"/>
        </w:rPr>
        <w:t xml:space="preserve">Treating the listener as a security decision, not just a settings screen</w:t>
      </w:r>
    </w:p>
    <w:p>
      <w:pPr>
        <w:spacing w:after="160"/>
      </w:pPr>
      <w:r>
        <w:rPr>
          <w:rFonts w:ascii="Calibri" w:cs="Calibri" w:eastAsia="Calibri" w:hAnsi="Calibri"/>
          <w:color w:val="5C6678"/>
          <w:sz w:val="21"/>
          <w:szCs w:val="21"/>
        </w:rPr>
        <w:t xml:space="preserve">The single most important instruction in this lesson is stated as an explicit warning in the source documentation itself: never expose the HL7 listener to the public internet. Analyser networks are typically flat and unauthenticated by design — meaning anything that can reach the listener can potentially send it data, with no built-in network-level authentication protecting it. The correct practice is keeping this listener on a private, properly segmented VLAN, isolated from general internet access, treating its network placement as a deliberate security architecture decision rather than an afterthought to whatever network happens to be convenient.</w:t>
      </w:r>
    </w:p>
    <w:p>
      <w:pPr>
        <w:spacing w:after="100" w:before="220"/>
      </w:pPr>
      <w:r>
        <w:rPr>
          <w:rFonts w:ascii="Calibri" w:cs="Calibri" w:eastAsia="Calibri" w:hAnsi="Calibri"/>
          <w:b/>
          <w:bCs/>
          <w:color w:val="0E1F33"/>
          <w:sz w:val="20"/>
          <w:szCs w:val="20"/>
        </w:rPr>
        <w:t xml:space="preserve">Choosing an SMTP provider with eyes open to the trade-offs</w:t>
      </w:r>
    </w:p>
    <w:p>
      <w:pPr>
        <w:spacing w:after="160"/>
      </w:pPr>
      <w:r>
        <w:rPr>
          <w:rFonts w:ascii="Calibri" w:cs="Calibri" w:eastAsia="Calibri" w:hAnsi="Calibri"/>
          <w:color w:val="5C6678"/>
          <w:sz w:val="21"/>
          <w:szCs w:val="21"/>
        </w:rPr>
        <w:t xml:space="preserve">LabOS supports several SMTP provider options, each with genuinely different trade-offs: Gmail via Google Workspace is easy to start with but requires an app-specific password and caps out around 2,000 emails a day; SendGrid is built specifically for transactional email and reliable, billed per email sent; Mailgun is broadly similar to SendGrid with pricing more favourable for African operations; Amazon SES is the cheapest option at real scale but requires the extra step of moving out of its default sandbox mode; and self-hosting is explicitly recommended only for laboratories with an experienced systems administrator and properly configured DNS, since a poorly run self-hosted mail server is more likely to harm deliverability than help it.</w:t>
      </w:r>
    </w:p>
    <w:p>
      <w:pPr>
        <w:spacing w:after="100" w:before="220"/>
      </w:pPr>
      <w:r>
        <w:rPr>
          <w:rFonts w:ascii="Calibri" w:cs="Calibri" w:eastAsia="Calibri" w:hAnsi="Calibri"/>
          <w:b/>
          <w:bCs/>
          <w:color w:val="0E1F33"/>
          <w:sz w:val="20"/>
          <w:szCs w:val="20"/>
        </w:rPr>
        <w:t xml:space="preserve">Setting up DNS authentication so email actually arrives</w:t>
      </w:r>
    </w:p>
    <w:p>
      <w:pPr>
        <w:spacing w:after="160"/>
      </w:pPr>
      <w:r>
        <w:rPr>
          <w:rFonts w:ascii="Calibri" w:cs="Calibri" w:eastAsia="Calibri" w:hAnsi="Calibri"/>
          <w:color w:val="5C6678"/>
          <w:sz w:val="21"/>
          <w:szCs w:val="21"/>
        </w:rPr>
        <w:t xml:space="preserve">Whichever provider is chosen, three DNS records are what determine whether outbound LabOS email reaches an inbox or a spam folder: SPF, which declares which servers are authorised to send email on your domain's behalf (for example, v=spf1 include:_spf.google.com ~all for Gmail); DKIM, a cryptographic signature using a public key your provider supplies for you to publish in DNS; and DMARC, which states what a receiving mail server should do with messages that fail SPF or DKIM checks (for example, v=DMARC1; p=quarantine; rua=mailto:dmarc@yourlab.ng). Skipping these records doesn't necessarily stop email from sending — it simply makes receiving mail servers far more likely to classify even completely legitimate LabOS emails as spam, silently undermining the email delivery channel without any obvious error appearing in LabOS itself.</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place the HL7 listener on a private, segmented VLAN — never on a network segment reachable from the public internet, regardless of convenience.</w:t>
      </w:r>
    </w:p>
    <w:p>
      <w:pPr>
        <w:pStyle w:val="ListParagraph"/>
        <w:numPr>
          <w:ilvl w:val="0"/>
          <w:numId w:val="3"/>
        </w:numPr>
        <w:spacing w:after="90"/>
      </w:pPr>
      <w:r>
        <w:rPr>
          <w:rFonts w:ascii="Calibri" w:cs="Calibri" w:eastAsia="Calibri" w:hAnsi="Calibri"/>
          <w:color w:val="5C6678"/>
          <w:sz w:val="21"/>
          <w:szCs w:val="21"/>
        </w:rPr>
        <w:t xml:space="preserve">Investigate and resolve unmapped analyser test codes promptly when they appear in the manual-review log, rather than letting them accumulate unaddressed.</w:t>
      </w:r>
    </w:p>
    <w:p>
      <w:pPr>
        <w:pStyle w:val="ListParagraph"/>
        <w:numPr>
          <w:ilvl w:val="0"/>
          <w:numId w:val="3"/>
        </w:numPr>
        <w:spacing w:after="90"/>
      </w:pPr>
      <w:r>
        <w:rPr>
          <w:rFonts w:ascii="Calibri" w:cs="Calibri" w:eastAsia="Calibri" w:hAnsi="Calibri"/>
          <w:color w:val="5C6678"/>
          <w:sz w:val="21"/>
          <w:szCs w:val="21"/>
        </w:rPr>
        <w:t xml:space="preserve">Choose an SMTP provider based on genuine projected email volume and available technical expertise, not simply the easiest option to start with.</w:t>
      </w:r>
    </w:p>
    <w:p>
      <w:pPr>
        <w:pStyle w:val="ListParagraph"/>
        <w:numPr>
          <w:ilvl w:val="0"/>
          <w:numId w:val="3"/>
        </w:numPr>
        <w:spacing w:after="90"/>
      </w:pPr>
      <w:r>
        <w:rPr>
          <w:rFonts w:ascii="Calibri" w:cs="Calibri" w:eastAsia="Calibri" w:hAnsi="Calibri"/>
          <w:color w:val="5C6678"/>
          <w:sz w:val="21"/>
          <w:szCs w:val="21"/>
        </w:rPr>
        <w:t xml:space="preserve">Configure SPF, DKIM, and DMARC for your sending domain as a mandatory part of SMTP setup, not an optional enhancement to add later.</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Exposing the HL7 listener on a public or poorly segmented network for setup convenience, creating a genuine, unnecessary security exposure.</w:t>
      </w:r>
    </w:p>
    <w:p>
      <w:pPr>
        <w:pStyle w:val="ListParagraph"/>
        <w:numPr>
          <w:ilvl w:val="0"/>
          <w:numId w:val="3"/>
        </w:numPr>
        <w:spacing w:after="90"/>
      </w:pPr>
      <w:r>
        <w:rPr>
          <w:rFonts w:ascii="Calibri" w:cs="Calibri" w:eastAsia="Calibri" w:hAnsi="Calibri"/>
          <w:color w:val="5C6678"/>
          <w:sz w:val="21"/>
          <w:szCs w:val="21"/>
        </w:rPr>
        <w:t xml:space="preserve">Ignoring the manual-review queue for unmapped test codes, leading to results that are technically received but never actually reach a patient's record.</w:t>
      </w:r>
    </w:p>
    <w:p>
      <w:pPr>
        <w:pStyle w:val="ListParagraph"/>
        <w:numPr>
          <w:ilvl w:val="0"/>
          <w:numId w:val="3"/>
        </w:numPr>
        <w:spacing w:after="90"/>
      </w:pPr>
      <w:r>
        <w:rPr>
          <w:rFonts w:ascii="Calibri" w:cs="Calibri" w:eastAsia="Calibri" w:hAnsi="Calibri"/>
          <w:color w:val="5C6678"/>
          <w:sz w:val="21"/>
          <w:szCs w:val="21"/>
        </w:rPr>
        <w:t xml:space="preserve">Choosing Gmail/Google Workspace for SMTP at a volume that exceeds its roughly 2,000-email daily limit, causing delivery failures during high-volume periods.</w:t>
      </w:r>
    </w:p>
    <w:p>
      <w:pPr>
        <w:pStyle w:val="ListParagraph"/>
        <w:numPr>
          <w:ilvl w:val="0"/>
          <w:numId w:val="3"/>
        </w:numPr>
        <w:spacing w:after="90"/>
      </w:pPr>
      <w:r>
        <w:rPr>
          <w:rFonts w:ascii="Calibri" w:cs="Calibri" w:eastAsia="Calibri" w:hAnsi="Calibri"/>
          <w:color w:val="5C6678"/>
          <w:sz w:val="21"/>
          <w:szCs w:val="21"/>
        </w:rPr>
        <w:t xml:space="preserve">Setting up an SMTP provider without configuring SPF, DKIM, and DMARC, then being unable to explain why legitimate patient emails are landing in spam.</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6.3 — CONFIGURE INSTRUMENT AND EMAIL CONNECTIVITY</w:t>
            </w:r>
          </w:p>
          <w:p>
            <w:r>
              <w:rPr>
                <w:rFonts w:ascii="Calibri" w:cs="Calibri" w:eastAsia="Calibri" w:hAnsi="Calibri"/>
                <w:i/>
                <w:iCs/>
                <w:color w:val="0E1F33"/>
                <w:sz w:val="21"/>
                <w:szCs w:val="21"/>
              </w:rPr>
              <w:t xml:space="preserve">Write out the four HL7 listener configuration values (host, port, ACK mode, encoding) you would use for a new analyser connection, and explain in one sentence why the host is typically set to 0.0.0.0 rather than a specific address. In two to three sentences, explain the specific security risk of placing this listener on a public-facing network, using the "flat and unauthenticated" characteristic of analyser networks in your explanation. Separately, choose an SMTP provider appropriate for a mid-sized laboratory sending approximately 500 emails a day, justify your choice against the trade-offs described in this lesson, and write out example SPF, DKIM, and DMARC record concepts (they do not need to be technically perfect) for that provider.</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is manual result transcription specifically described as a patient-safety issue, not just a workflow inefficiency, in this lesson?</w:t>
      </w:r>
    </w:p>
    <w:p>
      <w:pPr>
        <w:spacing w:after="60"/>
      </w:pPr>
      <w:r>
        <w:rPr>
          <w:rFonts w:ascii="Calibri" w:cs="Calibri" w:eastAsia="Calibri" w:hAnsi="Calibri"/>
          <w:color w:val="5C6678"/>
          <w:sz w:val="20"/>
          <w:szCs w:val="20"/>
        </w:rPr>
        <w:t xml:space="preserve">Because manual re-typing of analyser results is a genuine source of transcription errors, and Module 1's Instrument Gateway content already identified this as one of the most common causes of patient harm in laboratory medicine — HL7 directly addresses a clinical safety risk, not merely a speed or convenience problem.</w:t>
      </w:r>
    </w:p>
    <w:p>
      <w:pPr>
        <w:spacing w:after="50" w:before="140"/>
      </w:pPr>
      <w:r>
        <w:rPr>
          <w:rFonts w:ascii="Calibri" w:cs="Calibri" w:eastAsia="Calibri" w:hAnsi="Calibri"/>
          <w:b/>
          <w:bCs/>
          <w:color w:val="0E1F33"/>
          <w:sz w:val="21"/>
          <w:szCs w:val="21"/>
        </w:rPr>
        <w:t xml:space="preserve">2. Why does the documentation explicitly warn against exposing the HL7 listener to the public internet, using the phrase "flat and unauthenticated"?</w:t>
      </w:r>
    </w:p>
    <w:p>
      <w:pPr>
        <w:spacing w:after="60"/>
      </w:pPr>
      <w:r>
        <w:rPr>
          <w:rFonts w:ascii="Calibri" w:cs="Calibri" w:eastAsia="Calibri" w:hAnsi="Calibri"/>
          <w:color w:val="5C6678"/>
          <w:sz w:val="20"/>
          <w:szCs w:val="20"/>
        </w:rPr>
        <w:t xml:space="preserve">Because analyser networks are typically designed without built-in authentication between devices, meaning anything able to reach the HL7 listener over the network could potentially send it data — exposing it publicly removes the network-level isolation that is the only real protection such an unauthenticated service has, making private VLAN placement essential rather than optional.</w:t>
      </w:r>
    </w:p>
    <w:p>
      <w:pPr>
        <w:spacing w:after="50" w:before="140"/>
      </w:pPr>
      <w:r>
        <w:rPr>
          <w:rFonts w:ascii="Calibri" w:cs="Calibri" w:eastAsia="Calibri" w:hAnsi="Calibri"/>
          <w:b/>
          <w:bCs/>
          <w:color w:val="0E1F33"/>
          <w:sz w:val="21"/>
          <w:szCs w:val="21"/>
        </w:rPr>
        <w:t xml:space="preserve">3. A laboratory sets up SMTP correctly and emails appear to send successfully from LabOS, but patients report not receiving them. What is a likely cause, even though nothing in LabOS shows an error?</w:t>
      </w:r>
    </w:p>
    <w:p>
      <w:pPr>
        <w:spacing w:after="60"/>
      </w:pPr>
      <w:r>
        <w:rPr>
          <w:rFonts w:ascii="Calibri" w:cs="Calibri" w:eastAsia="Calibri" w:hAnsi="Calibri"/>
          <w:color w:val="5C6678"/>
          <w:sz w:val="20"/>
          <w:szCs w:val="20"/>
        </w:rPr>
        <w:t xml:space="preserve">Missing or misconfigured SPF, DKIM, and DMARC DNS records — without them, receiving mail servers are far more likely to classify even genuinely legitimate emails as spam, meaning the email can leave LabOS successfully and still never reach the patient's visible inbox, with no error appearing on the sending side.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6.3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"Connecting Instruments and Email: HL7 and SMTP" — CLA Module 6,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configure the HL7 listener securely and set up SMTP with correct DNS authentication for reliable email delivery.</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 (final video of Level 2, closing the administrative foundation before Level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HL7 security segment delivered partly to camera for emphasis</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"This closes out Level 2 with two of the most technical topics in the whole administrator path — and both have real consequences if rushed."</w:t>
      </w:r>
    </w:p>
    <w:p>
      <w:pPr>
        <w:pStyle w:val="ListParagraph"/>
        <w:numPr>
          <w:ilvl w:val="0"/>
          <w:numId w:val="8"/>
        </w:numPr>
        <w:spacing w:after="90"/>
      </w:pPr>
      <w:r>
        <w:rPr>
          <w:rFonts w:ascii="Calibri" w:cs="Calibri" w:eastAsia="Calibri" w:hAnsi="Calibri"/>
          <w:color w:val="5C6678"/>
          <w:sz w:val="21"/>
          <w:szCs w:val="21"/>
        </w:rPr>
        <w:t xml:space="preserve">What HL7 eliminates: manual transcription, briefly recapping Module 1's patient-safety framing (0:40–1:45).</w:t>
      </w:r>
    </w:p>
    <w:p>
      <w:pPr>
        <w:pStyle w:val="ListParagraph"/>
        <w:numPr>
          <w:ilvl w:val="0"/>
          <w:numId w:val="8"/>
        </w:numPr>
        <w:spacing w:after="90"/>
      </w:pPr>
      <w:r>
        <w:rPr>
          <w:rFonts w:ascii="Calibri" w:cs="Calibri" w:eastAsia="Calibri" w:hAnsi="Calibri"/>
          <w:color w:val="5C6678"/>
          <w:sz w:val="21"/>
          <w:szCs w:val="21"/>
        </w:rPr>
        <w:t xml:space="preserve">HL7 listener configuration, live demo of the four settings (1:45–3:30).</w:t>
      </w:r>
    </w:p>
    <w:p>
      <w:pPr>
        <w:pStyle w:val="ListParagraph"/>
        <w:numPr>
          <w:ilvl w:val="0"/>
          <w:numId w:val="8"/>
        </w:numPr>
        <w:spacing w:after="90"/>
      </w:pPr>
      <w:r>
        <w:rPr>
          <w:rFonts w:ascii="Calibri" w:cs="Calibri" w:eastAsia="Calibri" w:hAnsi="Calibri"/>
          <w:color w:val="5C6678"/>
          <w:sz w:val="21"/>
          <w:szCs w:val="21"/>
        </w:rPr>
        <w:t xml:space="preserve">The VLAN security warning, delivered directly to camera (3:30–4:45).</w:t>
      </w:r>
    </w:p>
    <w:p>
      <w:pPr>
        <w:pStyle w:val="ListParagraph"/>
        <w:numPr>
          <w:ilvl w:val="0"/>
          <w:numId w:val="8"/>
        </w:numPr>
        <w:spacing w:after="90"/>
      </w:pPr>
      <w:r>
        <w:rPr>
          <w:rFonts w:ascii="Calibri" w:cs="Calibri" w:eastAsia="Calibri" w:hAnsi="Calibri"/>
          <w:color w:val="5C6678"/>
          <w:sz w:val="21"/>
          <w:szCs w:val="21"/>
        </w:rPr>
        <w:t xml:space="preserve">Test-code mapping and the manual-review queue (4:45–5:45).</w:t>
      </w:r>
    </w:p>
    <w:p>
      <w:pPr>
        <w:pStyle w:val="ListParagraph"/>
        <w:numPr>
          <w:ilvl w:val="0"/>
          <w:numId w:val="8"/>
        </w:numPr>
        <w:spacing w:after="90"/>
      </w:pPr>
      <w:r>
        <w:rPr>
          <w:rFonts w:ascii="Calibri" w:cs="Calibri" w:eastAsia="Calibri" w:hAnsi="Calibri"/>
          <w:color w:val="5C6678"/>
          <w:sz w:val="21"/>
          <w:szCs w:val="21"/>
        </w:rPr>
        <w:t xml:space="preserve">SMTP provider comparison, brief overview of the five options (5:45–7:00).</w:t>
      </w:r>
    </w:p>
    <w:p>
      <w:pPr>
        <w:pStyle w:val="ListParagraph"/>
        <w:numPr>
          <w:ilvl w:val="0"/>
          <w:numId w:val="8"/>
        </w:numPr>
        <w:spacing w:after="90"/>
      </w:pPr>
      <w:r>
        <w:rPr>
          <w:rFonts w:ascii="Calibri" w:cs="Calibri" w:eastAsia="Calibri" w:hAnsi="Calibri"/>
          <w:color w:val="5C6678"/>
          <w:sz w:val="21"/>
          <w:szCs w:val="21"/>
        </w:rPr>
        <w:t xml:space="preserve">SPF/DKIM/DMARC setup, live demo with a real-looking DNS record example (7:00–9:30).</w:t>
      </w:r>
    </w:p>
    <w:p>
      <w:pPr>
        <w:pStyle w:val="ListParagraph"/>
        <w:numPr>
          <w:ilvl w:val="0"/>
          <w:numId w:val="8"/>
        </w:numPr>
        <w:spacing w:after="90"/>
      </w:pPr>
      <w:r>
        <w:rPr>
          <w:rFonts w:ascii="Calibri" w:cs="Calibri" w:eastAsia="Calibri" w:hAnsi="Calibri"/>
          <w:color w:val="5C6678"/>
          <w:sz w:val="21"/>
          <w:szCs w:val="21"/>
        </w:rPr>
        <w:t xml:space="preserve">Close + Level 2 wrap-up, transition to Level 3 / Module 7 (9:30–end).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by connecting to patient safety explicitly: "We named transcription errors as a real harm risk back in Module 1 — this is the fix."</w:t>
      </w:r>
    </w:p>
    <w:p>
      <w:pPr>
        <w:pStyle w:val="ListParagraph"/>
        <w:numPr>
          <w:ilvl w:val="0"/>
          <w:numId w:val="3"/>
        </w:numPr>
        <w:spacing w:after="90"/>
      </w:pPr>
      <w:r>
        <w:rPr>
          <w:rFonts w:ascii="Calibri" w:cs="Calibri" w:eastAsia="Calibri" w:hAnsi="Calibri"/>
          <w:color w:val="5C6678"/>
          <w:sz w:val="21"/>
          <w:szCs w:val="21"/>
        </w:rPr>
        <w:t xml:space="preserve">At the VLAN warning, slow down and be unambiguous: "This single decision — public network or private VLAN — is the difference between a working integration and a real security exposure. Get this right."</w:t>
      </w:r>
    </w:p>
    <w:p>
      <w:pPr>
        <w:pStyle w:val="ListParagraph"/>
        <w:numPr>
          <w:ilvl w:val="0"/>
          <w:numId w:val="3"/>
        </w:numPr>
        <w:spacing w:after="90"/>
      </w:pPr>
      <w:r>
        <w:rPr>
          <w:rFonts w:ascii="Calibri" w:cs="Calibri" w:eastAsia="Calibri" w:hAnsi="Calibri"/>
          <w:color w:val="5C6678"/>
          <w:sz w:val="21"/>
          <w:szCs w:val="21"/>
        </w:rPr>
        <w:t xml:space="preserve">At SMTP provider selection, frame it as a genuine decision, not a default: "There's no single right answer here — it depends on your volume and your technical support, and this lesson gave you the trade-offs to decide for yourself."</w:t>
      </w:r>
    </w:p>
    <w:p>
      <w:pPr>
        <w:pStyle w:val="ListParagraph"/>
        <w:numPr>
          <w:ilvl w:val="0"/>
          <w:numId w:val="3"/>
        </w:numPr>
        <w:spacing w:after="90"/>
      </w:pPr>
      <w:r>
        <w:rPr>
          <w:rFonts w:ascii="Calibri" w:cs="Calibri" w:eastAsia="Calibri" w:hAnsi="Calibri"/>
          <w:color w:val="5C6678"/>
          <w:sz w:val="21"/>
          <w:szCs w:val="21"/>
        </w:rPr>
        <w:t xml:space="preserve">Close Level 2 with a deliberate moment of recap: "You can now stand up a tenant's staff, branches, identity, pricing, billing, and every core external connection it depends on. Level 3 builds on all of this toward real operational excellence."</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Open Integrations → HL7, configure host (0.0.0.0), port (2575), ACK mode (AL), encoding (UTF-8).</w:t>
      </w:r>
    </w:p>
    <w:p>
      <w:pPr>
        <w:pStyle w:val="ListParagraph"/>
        <w:numPr>
          <w:ilvl w:val="0"/>
          <w:numId w:val="9"/>
        </w:numPr>
        <w:spacing w:after="90"/>
      </w:pPr>
      <w:r>
        <w:rPr>
          <w:rFonts w:ascii="Calibri" w:cs="Calibri" w:eastAsia="Calibri" w:hAnsi="Calibri"/>
          <w:color w:val="5C6678"/>
          <w:sz w:val="21"/>
          <w:szCs w:val="21"/>
        </w:rPr>
        <w:t xml:space="preserve">Cut to a simple network diagram showing the listener correctly placed on a private VLAN versus incorrectly exposed to the public internet.</w:t>
      </w:r>
    </w:p>
    <w:p>
      <w:pPr>
        <w:pStyle w:val="ListParagraph"/>
        <w:numPr>
          <w:ilvl w:val="0"/>
          <w:numId w:val="9"/>
        </w:numPr>
        <w:spacing w:after="90"/>
      </w:pPr>
      <w:r>
        <w:rPr>
          <w:rFonts w:ascii="Calibri" w:cs="Calibri" w:eastAsia="Calibri" w:hAnsi="Calibri"/>
          <w:color w:val="5C6678"/>
          <w:sz w:val="21"/>
          <w:szCs w:val="21"/>
        </w:rPr>
        <w:t xml:space="preserve">Show the test-code mapping table and an example unmapped-code entry in the manual-review queue.</w:t>
      </w:r>
    </w:p>
    <w:p>
      <w:pPr>
        <w:pStyle w:val="ListParagraph"/>
        <w:numPr>
          <w:ilvl w:val="0"/>
          <w:numId w:val="9"/>
        </w:numPr>
        <w:spacing w:after="90"/>
      </w:pPr>
      <w:r>
        <w:rPr>
          <w:rFonts w:ascii="Calibri" w:cs="Calibri" w:eastAsia="Calibri" w:hAnsi="Calibri"/>
          <w:color w:val="5C6678"/>
          <w:sz w:val="21"/>
          <w:szCs w:val="21"/>
        </w:rPr>
        <w:t xml:space="preserve">Cut to a five-provider SMTP comparison table (Gmail / SendGrid / Mailgun / SES / Self-hosted) with key trade-offs labelled.</w:t>
      </w:r>
    </w:p>
    <w:p>
      <w:pPr>
        <w:pStyle w:val="ListParagraph"/>
        <w:numPr>
          <w:ilvl w:val="0"/>
          <w:numId w:val="9"/>
        </w:numPr>
        <w:spacing w:after="90"/>
      </w:pPr>
      <w:r>
        <w:rPr>
          <w:rFonts w:ascii="Calibri" w:cs="Calibri" w:eastAsia="Calibri" w:hAnsi="Calibri"/>
          <w:color w:val="5C6678"/>
          <w:sz w:val="21"/>
          <w:szCs w:val="21"/>
        </w:rPr>
        <w:t xml:space="preserve">Show entering SPF, DKIM, and DMARC records in a DNS management interface, narrating each record's purpose.</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HL7 eliminates manual transcription — a direct patient-safety improvement, not just convenience.</w:t>
      </w:r>
    </w:p>
    <w:p>
      <w:pPr>
        <w:pStyle w:val="ListParagraph"/>
        <w:numPr>
          <w:ilvl w:val="0"/>
          <w:numId w:val="3"/>
        </w:numPr>
        <w:spacing w:after="90"/>
      </w:pPr>
      <w:r>
        <w:rPr>
          <w:rFonts w:ascii="Calibri" w:cs="Calibri" w:eastAsia="Calibri" w:hAnsi="Calibri"/>
          <w:color w:val="5C6678"/>
          <w:sz w:val="21"/>
          <w:szCs w:val="21"/>
        </w:rPr>
        <w:t xml:space="preserve">Never expose the HL7 listener publicly — private VLAN only, no exceptions.</w:t>
      </w:r>
    </w:p>
    <w:p>
      <w:pPr>
        <w:pStyle w:val="ListParagraph"/>
        <w:numPr>
          <w:ilvl w:val="0"/>
          <w:numId w:val="3"/>
        </w:numPr>
        <w:spacing w:after="90"/>
      </w:pPr>
      <w:r>
        <w:rPr>
          <w:rFonts w:ascii="Calibri" w:cs="Calibri" w:eastAsia="Calibri" w:hAnsi="Calibri"/>
          <w:color w:val="5C6678"/>
          <w:sz w:val="21"/>
          <w:szCs w:val="21"/>
        </w:rPr>
        <w:t xml:space="preserve">Unmapped test codes go to manual review, not the void — check that queue.</w:t>
      </w:r>
    </w:p>
    <w:p>
      <w:pPr>
        <w:pStyle w:val="ListParagraph"/>
        <w:numPr>
          <w:ilvl w:val="0"/>
          <w:numId w:val="3"/>
        </w:numPr>
        <w:spacing w:after="90"/>
      </w:pPr>
      <w:r>
        <w:rPr>
          <w:rFonts w:ascii="Calibri" w:cs="Calibri" w:eastAsia="Calibri" w:hAnsi="Calibri"/>
          <w:color w:val="5C6678"/>
          <w:sz w:val="21"/>
          <w:szCs w:val="21"/>
        </w:rPr>
        <w:t xml:space="preserve">SPF, DKIM, and DMARC are mandatory for reliable email delivery, not optional extras.</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Side-by-side network diagram: HL7 listener on a private VLAN (green, secure) vs. exposed to public internet (red, vulnerable).</w:t>
      </w:r>
    </w:p>
    <w:p>
      <w:pPr>
        <w:pStyle w:val="ListParagraph"/>
        <w:numPr>
          <w:ilvl w:val="0"/>
          <w:numId w:val="3"/>
        </w:numPr>
        <w:spacing w:after="90"/>
      </w:pPr>
      <w:r>
        <w:rPr>
          <w:rFonts w:ascii="Calibri" w:cs="Calibri" w:eastAsia="Calibri" w:hAnsi="Calibri"/>
          <w:color w:val="5C6678"/>
          <w:sz w:val="21"/>
          <w:szCs w:val="21"/>
        </w:rPr>
        <w:t xml:space="preserve">Five-provider SMTP comparison table as a clean, reusable reference graphic.</w:t>
      </w:r>
    </w:p>
    <w:p>
      <w:pPr>
        <w:pStyle w:val="ListParagraph"/>
        <w:numPr>
          <w:ilvl w:val="0"/>
          <w:numId w:val="3"/>
        </w:numPr>
        <w:spacing w:after="90"/>
      </w:pPr>
      <w:r>
        <w:rPr>
          <w:rFonts w:ascii="Calibri" w:cs="Calibri" w:eastAsia="Calibri" w:hAnsi="Calibri"/>
          <w:color w:val="5C6678"/>
          <w:sz w:val="21"/>
          <w:szCs w:val="21"/>
        </w:rPr>
        <w:t xml:space="preserve">Simple "email journey" diagram showing a message passing through SPF/DKIM/DMARC checks successfully into an inbox, versus failing them and landing in spam.</w:t>
      </w:r>
    </w:p>
    <w:p>
      <w:r>
        <w:br w:type="page"/>
      </w:r>
    </w:p>
    <w:p>
      <w:pPr>
        <w:spacing w:after="60"/>
      </w:pPr>
      <w:r>
        <w:rPr>
          <w:rFonts w:ascii="Calibri" w:cs="Calibri" w:eastAsia="Calibri" w:hAnsi="Calibri"/>
          <w:b/>
          <w:bCs/>
          <w:color w:val="A8552E"/>
          <w:spacing w:val="14"/>
          <w:sz w:val="17"/>
          <w:szCs w:val="17"/>
        </w:rPr>
        <w:t xml:space="preserve">MODULE 6</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6 assessment confirms a learner can independently set up LabOS's core external integrations with appropriate technical and security discipline — and, since this is the final module of Level 2, that they are ready for Level 3's advanced operational content.</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6.3 (HL7 and SMTP configuration plan) unaided, building on the Termii and Paystack/NHIS setup from Exercises 6.1 and 6.2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"Identify one verification or security step in this module (webhook signature, VLAN isolation, or DNS authentication) and explain specifically what could go wrong, and how it might go unnoticed, if that step were skipped."</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6 completes Level 2 — LabOS Administrator. A learner who has set up staff and branches (Module 4), billing (Module 5), and core integrations (this module) is ready for Level 3, which shifts from initial setup to advanced, ongoing operational excellence. Module 7 returns to workflow exceptions deliberately set aside back in Module 3. Module 9 (Instrument Gateway) builds directly on this module's HL7 foundation, covering the dedicated Gateway application in full depth. Module 10 (Advanced Integrations) returns to Termii, WhatsApp, and Paystack with their deeper, beyond-setup capabilities — webhook event subscriptions, multi-currency, bi-directional analyser interfaces — that this module deliberately did not cover. Module 11 (Compliance &amp; Security) will revisit this module's VLAN and DNS-authentication security content within LabOS's broader compliance posture.</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6: Core Integrations Setup</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2026-06-21T18:48:05.218Z</dcterms:created>
  <dcterms:modified xsi:type="dcterms:W3CDTF">2026-06-21T18:48:05.218Z</dcterms:modified>
</cp:coreProperties>
</file>

<file path=docProps/custom.xml><?xml version="1.0" encoding="utf-8"?>
<Properties xmlns="http://schemas.openxmlformats.org/officeDocument/2006/custom-properties" xmlns:vt="http://schemas.openxmlformats.org/officeDocument/2006/docPropsVTypes"/>
</file>