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jc w:val="center"/>
      </w:pPr>
      <w:r>
        <w:drawing>
          <wp:inline distT="0" distB="0" distL="0" distR="0">
            <wp:extent cx="2286000" cy="1181100"/>
            <wp:effectExtent t="0" r="0" b="0" l="0"/>
            <wp:docPr id="1" name="logo" descr="logo" title="AgoroX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1181100"/>
                    </a:xfrm>
                    <a:prstGeom prst="rect">
                      <a:avLst/>
                    </a:prstGeom>
                  </pic:spPr>
                </pic:pic>
              </a:graphicData>
            </a:graphic>
          </wp:inline>
        </w:drawing>
      </w:r>
    </w:p>
    <w:p>
      <w:pPr>
        <w:spacing w:before="560"/>
        <w:jc w:val="center"/>
      </w:pPr>
      <w:r>
        <w:rPr>
          <w:rFonts w:ascii="Calibri" w:cs="Calibri" w:eastAsia="Calibri" w:hAnsi="Calibri"/>
          <w:b/>
          <w:bCs/>
          <w:color w:val="0E1F33"/>
          <w:spacing w:val="18"/>
          <w:sz w:val="48"/>
          <w:szCs w:val="48"/>
        </w:rPr>
        <w:t xml:space="preserve">AGOROX ACADEMY</w:t>
      </w:r>
    </w:p>
    <w:p>
      <w:pPr>
        <w:spacing w:before="160"/>
        <w:jc w:val="center"/>
      </w:pPr>
      <w:r>
        <w:rPr>
          <w:rFonts w:ascii="Calibri" w:cs="Calibri" w:eastAsia="Calibri" w:hAnsi="Calibri"/>
          <w:color w:val="A8552E"/>
          <w:sz w:val="26"/>
          <w:szCs w:val="26"/>
        </w:rPr>
        <w:t xml:space="preserve">Certified LabOS Administrator (CLA)</w:t>
      </w:r>
    </w:p>
    <w:p>
      <w:pPr>
        <w:spacing w:before="100"/>
        <w:jc w:val="center"/>
      </w:pPr>
      <w:r>
        <w:rPr>
          <w:rFonts w:ascii="Calibri" w:cs="Calibri" w:eastAsia="Calibri" w:hAnsi="Calibri"/>
          <w:b/>
          <w:bCs/>
          <w:color w:val="0E1F33"/>
          <w:sz w:val="24"/>
          <w:szCs w:val="24"/>
        </w:rPr>
        <w:t xml:space="preserve">Module 9 — Instrument Gateway</w:t>
      </w:r>
    </w:p>
    <w:p>
      <w:pPr>
        <w:spacing w:before="140"/>
        <w:jc w:val="center"/>
      </w:pPr>
      <w:r>
        <w:rPr>
          <w:rFonts w:ascii="Calibri" w:cs="Calibri" w:eastAsia="Calibri" w:hAnsi="Calibri"/>
          <w:i/>
          <w:iCs/>
          <w:color w:val="5C6678"/>
          <w:sz w:val="17"/>
          <w:szCs w:val="17"/>
        </w:rPr>
        <w:t xml:space="preserve">Production-Ready Training Content — Instructor-Led, Self-Paced &amp; Video Script Package</w:t>
      </w:r>
    </w:p>
    <w:p>
      <w:pPr>
        <w:pBdr>
          <w:top w:val="single" w:color="D8DCE2" w:sz="6" w:space="14"/>
        </w:pBdr>
        <w:spacing w:before="1500"/>
        <w:jc w:val="center"/>
      </w:pPr>
      <w:r>
        <w:rPr>
          <w:rFonts w:ascii="Calibri" w:cs="Calibri" w:eastAsia="Calibri" w:hAnsi="Calibri"/>
          <w:color w:val="8C95A6"/>
          <w:sz w:val="18"/>
          <w:szCs w:val="18"/>
        </w:rPr>
        <w:t xml:space="preserve">AgoroX Technologies · Ibadan, Nigeria · 2026</w:t>
      </w:r>
    </w:p>
    <w:p>
      <w:r>
        <w:br w:type="page"/>
      </w:r>
    </w:p>
    <w:p>
      <w:pPr>
        <w:pStyle w:val="Heading1"/>
      </w:pPr>
      <w:r>
        <w:rPr>
          <w:rFonts w:ascii="Calibri" w:cs="Calibri" w:eastAsia="Calibri" w:hAnsi="Calibri"/>
        </w:rPr>
        <w:t xml:space="preserve">Table of Contents</w:t>
      </w:r>
    </w:p>
    <w:p>
      <w:pPr>
        <w:spacing w:after="12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60"/>
      </w:pPr>
      <w:r>
        <w:rPr>
          <w:rFonts w:ascii="Calibri" w:cs="Calibri" w:eastAsia="Calibri" w:hAnsi="Calibri"/>
          <w:b/>
          <w:bCs/>
          <w:color w:val="A8552E"/>
          <w:spacing w:val="14"/>
          <w:sz w:val="17"/>
          <w:szCs w:val="17"/>
        </w:rPr>
        <w:t xml:space="preserve">MODULE 9 OF 11 · LABOS ADVANCED OPERATIONS (LEVEL 3)</w:t>
      </w:r>
    </w:p>
    <w:p>
      <w:pPr>
        <w:pStyle w:val="Heading1"/>
      </w:pPr>
      <w:r>
        <w:rPr>
          <w:rFonts w:ascii="Calibri" w:cs="Calibri" w:eastAsia="Calibri" w:hAnsi="Calibri"/>
        </w:rPr>
        <w:t xml:space="preserve">Module Overview</w:t>
      </w:r>
    </w:p>
    <w:p>
      <w:pPr>
        <w:spacing w:after="200"/>
      </w:pPr>
      <w:r>
        <w:rPr>
          <w:rFonts w:ascii="Calibri" w:cs="Calibri" w:eastAsia="Calibri" w:hAnsi="Calibri"/>
          <w:color w:val="5C6678"/>
          <w:sz w:val="23"/>
          <w:szCs w:val="23"/>
        </w:rPr>
        <w:t xml:space="preserve">Module 9 is built from all six Help &amp; Documentation articles in the LabOS "Instrument Gateway" category — the dedicated Windows application that connects laboratory analysers directly to LabOS, eliminating manual result transcription entirely. Module 6 introduced HL7 as a server-side listener concept; this module covers the complete, purpose-built desktop application most African laboratories actually use to achieve the same outcome.</w:t>
      </w:r>
    </w:p>
    <w:p>
      <w:pPr>
        <w:spacing w:after="160"/>
      </w:pPr>
      <w:r>
        <w:rPr>
          <w:rFonts w:ascii="Calibri" w:cs="Calibri" w:eastAsia="Calibri" w:hAnsi="Calibri"/>
          <w:color w:val="5C6678"/>
          <w:sz w:val="21"/>
          <w:szCs w:val="21"/>
        </w:rPr>
        <w:t xml:space="preserve">This module sits at the intersection of two threads already running through this program: Module 1 named manual transcription as one of the most common causes of patient harm in laboratory medicine, and Module 8 established why an instrument's verified performance is what makes a result trustworthy in the first place. The Instrument Gateway is where those two threads meet in a single, concrete piece of software — automating the dangerous manual step while ensuring every result is still correctly matched to the right patient before it ever reaches a scientist for review.</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7020"/>
      </w:tblGrid>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MODULE POSITION</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Level 3 — LabOS Advanced Operations, Module 3 of 5 in this level</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SOURCE MATERIAL</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6 Help &amp; Documentation articles (gw-1 through gw-6), used as factual source only</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LESSONS IN THIS MODULE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3</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ESTIMATED TIME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75–95 minutes self-paced, or a 2-hour facilitated session</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DELIVERY FORMATS</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Self-paced online · Instructor-led · Corporate cohort</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PREREQUISITE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Module 8 — Quality Control (QC)</w:t>
            </w:r>
          </w:p>
        </w:tc>
      </w:tr>
    </w:tbl>
    <w:p>
      <w:pPr>
        <w:spacing w:after="200"/>
      </w:pPr>
    </w:p>
    <w:p>
      <w:pPr>
        <w:pStyle w:val="Heading2"/>
      </w:pPr>
      <w:r>
        <w:rPr>
          <w:rFonts w:ascii="Calibri" w:cs="Calibri" w:eastAsia="Calibri" w:hAnsi="Calibri"/>
        </w:rPr>
        <w:t xml:space="preserve">Why This Module Exists</w:t>
      </w:r>
    </w:p>
    <w:p>
      <w:pPr>
        <w:spacing w:after="160"/>
      </w:pPr>
      <w:r>
        <w:rPr>
          <w:rFonts w:ascii="Calibri" w:cs="Calibri" w:eastAsia="Calibri" w:hAnsi="Calibri"/>
          <w:color w:val="5C6678"/>
          <w:sz w:val="21"/>
          <w:szCs w:val="21"/>
        </w:rPr>
        <w:t xml:space="preserve">Installing and connecting the Instrument Gateway is genuinely hands-on, hardware-adjacent IT work — COM ports, baud rates, vendor-specific protocols — territory that's unfamiliar to many laboratory administrators whose background is clinical rather than technical. This module exists to make that work approachable and systematic, because the alternative — a laboratory that never properly connects its analysers — means staff continue manually re-typing results indefinitely, carrying forward exactly the transcription-error risk this program has been working to eliminate since Module 1.</w:t>
      </w:r>
    </w:p>
    <w:p>
      <w:r>
        <w:br w:type="page"/>
      </w:r>
    </w:p>
    <w:p>
      <w:pPr>
        <w:spacing w:after="60"/>
      </w:pPr>
      <w:r>
        <w:rPr>
          <w:rFonts w:ascii="Calibri" w:cs="Calibri" w:eastAsia="Calibri" w:hAnsi="Calibri"/>
          <w:b/>
          <w:bCs/>
          <w:color w:val="A8552E"/>
          <w:spacing w:val="14"/>
          <w:sz w:val="17"/>
          <w:szCs w:val="17"/>
        </w:rPr>
        <w:t xml:space="preserve">MODULE 9</w:t>
      </w:r>
    </w:p>
    <w:p>
      <w:pPr>
        <w:pStyle w:val="Heading1"/>
      </w:pPr>
      <w:r>
        <w:rPr>
          <w:rFonts w:ascii="Calibri" w:cs="Calibri" w:eastAsia="Calibri" w:hAnsi="Calibri"/>
        </w:rPr>
        <w:t xml:space="preserve">Learning Objectives</w:t>
      </w:r>
    </w:p>
    <w:p>
      <w:pPr>
        <w:spacing w:after="200"/>
      </w:pPr>
      <w:r>
        <w:rPr>
          <w:rFonts w:ascii="Calibri" w:cs="Calibri" w:eastAsia="Calibri" w:hAnsi="Calibri"/>
          <w:color w:val="5C6678"/>
          <w:sz w:val="23"/>
          <w:szCs w:val="23"/>
        </w:rPr>
        <w:t xml:space="preserve">By the end of Module 9, a learner will be able to do all of the following.</w:t>
      </w:r>
    </w:p>
    <w:p>
      <w:pPr>
        <w:spacing w:after="80"/>
      </w:pPr>
    </w:p>
    <w:p>
      <w:pPr>
        <w:pStyle w:val="ListParagraph"/>
        <w:numPr>
          <w:ilvl w:val="0"/>
          <w:numId w:val="2"/>
        </w:numPr>
        <w:spacing w:after="90"/>
      </w:pPr>
      <w:r>
        <w:rPr>
          <w:rFonts w:ascii="Calibri" w:cs="Calibri" w:eastAsia="Calibri" w:hAnsi="Calibri"/>
          <w:color w:val="5C6678"/>
          <w:sz w:val="21"/>
          <w:szCs w:val="21"/>
        </w:rPr>
        <w:t xml:space="preserve">Explain what the Instrument Gateway does, the five-step path a result takes from analyser to LabOS, and why it runs locally rather than purely in the cloud.</w:t>
      </w:r>
    </w:p>
    <w:p>
      <w:pPr>
        <w:pStyle w:val="ListParagraph"/>
        <w:numPr>
          <w:ilvl w:val="0"/>
          <w:numId w:val="2"/>
        </w:numPr>
        <w:spacing w:after="90"/>
      </w:pPr>
      <w:r>
        <w:rPr>
          <w:rFonts w:ascii="Calibri" w:cs="Calibri" w:eastAsia="Calibri" w:hAnsi="Calibri"/>
          <w:color w:val="5C6678"/>
          <w:sz w:val="21"/>
          <w:szCs w:val="21"/>
        </w:rPr>
        <w:t xml:space="preserve">Install the Gateway correctly on a Windows PC, including handling the SmartScreen warning appropriately, and complete first-time configuration.</w:t>
      </w:r>
    </w:p>
    <w:p>
      <w:pPr>
        <w:pStyle w:val="ListParagraph"/>
        <w:numPr>
          <w:ilvl w:val="0"/>
          <w:numId w:val="2"/>
        </w:numPr>
        <w:spacing w:after="90"/>
      </w:pPr>
      <w:r>
        <w:rPr>
          <w:rFonts w:ascii="Calibri" w:cs="Calibri" w:eastAsia="Calibri" w:hAnsi="Calibri"/>
          <w:color w:val="5C6678"/>
          <w:sz w:val="21"/>
          <w:szCs w:val="21"/>
        </w:rPr>
        <w:t xml:space="preserve">Identify the three supported connection types and choose the correct one for a given analyser.</w:t>
      </w:r>
    </w:p>
    <w:p>
      <w:pPr>
        <w:pStyle w:val="ListParagraph"/>
        <w:numPr>
          <w:ilvl w:val="0"/>
          <w:numId w:val="2"/>
        </w:numPr>
        <w:spacing w:after="90"/>
      </w:pPr>
      <w:r>
        <w:rPr>
          <w:rFonts w:ascii="Calibri" w:cs="Calibri" w:eastAsia="Calibri" w:hAnsi="Calibri"/>
          <w:color w:val="5C6678"/>
          <w:sz w:val="21"/>
          <w:szCs w:val="21"/>
        </w:rPr>
        <w:t xml:space="preserve">Select the correct protocol (ASTM or HL7) for a named analyser, and find a COM port and baud rate when needed.</w:t>
      </w:r>
    </w:p>
    <w:p>
      <w:pPr>
        <w:pStyle w:val="ListParagraph"/>
        <w:numPr>
          <w:ilvl w:val="0"/>
          <w:numId w:val="2"/>
        </w:numPr>
        <w:spacing w:after="90"/>
      </w:pPr>
      <w:r>
        <w:rPr>
          <w:rFonts w:ascii="Calibri" w:cs="Calibri" w:eastAsia="Calibri" w:hAnsi="Calibri"/>
          <w:color w:val="5C6678"/>
          <w:sz w:val="21"/>
          <w:szCs w:val="21"/>
        </w:rPr>
        <w:t xml:space="preserve">Explain the Sample Matching Engine's four-method priority order and why barcode matching is the recommended best practice.</w:t>
      </w:r>
    </w:p>
    <w:p>
      <w:pPr>
        <w:pStyle w:val="ListParagraph"/>
        <w:numPr>
          <w:ilvl w:val="0"/>
          <w:numId w:val="2"/>
        </w:numPr>
        <w:spacing w:after="90"/>
      </w:pPr>
      <w:r>
        <w:rPr>
          <w:rFonts w:ascii="Calibri" w:cs="Calibri" w:eastAsia="Calibri" w:hAnsi="Calibri"/>
          <w:color w:val="5C6678"/>
          <w:sz w:val="21"/>
          <w:szCs w:val="21"/>
        </w:rPr>
        <w:t xml:space="preserve">Explain how the Gateway operates offline, interpret its sync status indicators, and troubleshoot a non-zero pending count.</w:t>
      </w:r>
    </w:p>
    <w:p>
      <w:r>
        <w:br w:type="page"/>
      </w:r>
    </w:p>
    <w:p>
      <w:pPr>
        <w:spacing w:after="60"/>
      </w:pPr>
      <w:r>
        <w:rPr>
          <w:rFonts w:ascii="Calibri" w:cs="Calibri" w:eastAsia="Calibri" w:hAnsi="Calibri"/>
          <w:b/>
          <w:bCs/>
          <w:color w:val="A8552E"/>
          <w:spacing w:val="14"/>
          <w:sz w:val="17"/>
          <w:szCs w:val="17"/>
        </w:rPr>
        <w:t xml:space="preserve">MODULE 9</w:t>
      </w:r>
    </w:p>
    <w:p>
      <w:pPr>
        <w:pStyle w:val="Heading1"/>
      </w:pPr>
      <w:r>
        <w:rPr>
          <w:rFonts w:ascii="Calibri" w:cs="Calibri" w:eastAsia="Calibri" w:hAnsi="Calibri"/>
        </w:rPr>
        <w:t xml:space="preserve">Key Concepts</w:t>
      </w:r>
    </w:p>
    <w:p>
      <w:pPr>
        <w:spacing w:after="200"/>
      </w:pPr>
      <w:r>
        <w:rPr>
          <w:rFonts w:ascii="Calibri" w:cs="Calibri" w:eastAsia="Calibri" w:hAnsi="Calibri"/>
          <w:color w:val="5C6678"/>
          <w:sz w:val="23"/>
          <w:szCs w:val="23"/>
        </w:rPr>
        <w:t xml:space="preserve">These ideas recur across this module's three lessons, and explain several design choices that might otherwise seem like unnecessary complexity for what looks like a simple result-transfer tool.</w:t>
      </w:r>
    </w:p>
    <w:p>
      <w:pPr>
        <w:spacing w:after="80"/>
      </w:pPr>
    </w:p>
    <w:p>
      <w:pPr>
        <w:spacing w:after="100" w:before="220"/>
      </w:pPr>
      <w:r>
        <w:rPr>
          <w:rFonts w:ascii="Calibri" w:cs="Calibri" w:eastAsia="Calibri" w:hAnsi="Calibri"/>
          <w:b/>
          <w:bCs/>
          <w:color w:val="0E1F33"/>
          <w:sz w:val="22"/>
          <w:szCs w:val="22"/>
        </w:rPr>
        <w:t xml:space="preserve">Concept: The Gateway runs locally because the analyser connection must be local</w:t>
      </w:r>
    </w:p>
    <w:p>
      <w:pPr>
        <w:spacing w:after="160"/>
      </w:pPr>
      <w:r>
        <w:rPr>
          <w:rFonts w:ascii="Calibri" w:cs="Calibri" w:eastAsia="Calibri" w:hAnsi="Calibri"/>
          <w:color w:val="5C6678"/>
          <w:sz w:val="21"/>
          <w:szCs w:val="21"/>
        </w:rPr>
        <w:t xml:space="preserve">An analyser physically connects to a specific PC via a serial cable, USB adapter, or local network — that physical connection has no path to a cloud server directly. The Gateway exists precisely to bridge this gap: it runs on the same PC the analyser is wired to, speaks the analyser's native protocol locally, and only reaches out to LabOS afterward, over the internet, to deliver the parsed result. Understanding this local-first architecture explains why the Gateway is a Windows desktop application rather than a cloud feature, and why it can keep working perfectly even when the internet briefly drops.</w:t>
      </w:r>
    </w:p>
    <w:p>
      <w:pPr>
        <w:spacing w:after="100" w:before="220"/>
      </w:pPr>
      <w:r>
        <w:rPr>
          <w:rFonts w:ascii="Calibri" w:cs="Calibri" w:eastAsia="Calibri" w:hAnsi="Calibri"/>
          <w:b/>
          <w:bCs/>
          <w:color w:val="0E1F33"/>
          <w:sz w:val="22"/>
          <w:szCs w:val="22"/>
        </w:rPr>
        <w:t xml:space="preserve">Concept: A correctly matched result is only useful if it's matched to the right patient</w:t>
      </w:r>
    </w:p>
    <w:p>
      <w:pPr>
        <w:spacing w:after="160"/>
      </w:pPr>
      <w:r>
        <w:rPr>
          <w:rFonts w:ascii="Calibri" w:cs="Calibri" w:eastAsia="Calibri" w:hAnsi="Calibri"/>
          <w:color w:val="5C6678"/>
          <w:sz w:val="21"/>
          <w:szCs w:val="21"/>
        </w:rPr>
        <w:t xml:space="preserve">Automating result transfer solves the transcription-error problem, but introduces a different one: an analyser identifies a sample by its own internal numbering, which may have no inherent relationship to LabOS's patient request. The Sample Matching Engine exists specifically to solve this second problem, and its four-method priority order — trying the most reliable method first and falling back only when necessary — reflects a deliberate design philosophy: automate matching wherever it can be done reliably, and explicitly surface anything uncertain for a human to resolve, rather than guessing.</w:t>
      </w:r>
    </w:p>
    <w:p>
      <w:pPr>
        <w:spacing w:after="100" w:before="220"/>
      </w:pPr>
      <w:r>
        <w:rPr>
          <w:rFonts w:ascii="Calibri" w:cs="Calibri" w:eastAsia="Calibri" w:hAnsi="Calibri"/>
          <w:b/>
          <w:bCs/>
          <w:color w:val="0E1F33"/>
          <w:sz w:val="22"/>
          <w:szCs w:val="22"/>
        </w:rPr>
        <w:t xml:space="preserve">Concept: Local storage means the Gateway can never lose a result, even offline</w:t>
      </w:r>
    </w:p>
    <w:p>
      <w:pPr>
        <w:spacing w:after="160"/>
      </w:pPr>
      <w:r>
        <w:rPr>
          <w:rFonts w:ascii="Calibri" w:cs="Calibri" w:eastAsia="Calibri" w:hAnsi="Calibri"/>
          <w:color w:val="5C6678"/>
          <w:sz w:val="21"/>
          <w:szCs w:val="21"/>
        </w:rPr>
        <w:t xml:space="preserve">Because the Gateway stores every received result in a local database on the PC itself before attempting to sync anywhere, an internet outage during a shift never causes data loss — results simply queue locally until connectivity returns. This is the same underlying principle as LabOS's own offline-tolerant design philosophy, applied at the instrument-connection layer specifically: a laboratory's ability to keep working through a network outage shouldn't depend on results being lost and later reconstructed from memory or paper.</w:t>
      </w:r>
    </w:p>
    <w:p>
      <w:r>
        <w:br w:type="page"/>
      </w:r>
    </w:p>
    <w:p>
      <w:pPr>
        <w:pBdr>
          <w:top w:val="single" w:color="0E1F33" w:sz="14" w:space="10"/>
        </w:pBdr>
        <w:spacing w:after="200" w:before="360"/>
      </w:pPr>
      <w:r>
        <w:rPr>
          <w:rFonts w:ascii="Calibri" w:cs="Calibri" w:eastAsia="Calibri" w:hAnsi="Calibri"/>
          <w:b/>
          <w:bCs/>
          <w:color w:val="0E1F33"/>
          <w:spacing w:val="10"/>
          <w:sz w:val="19"/>
          <w:szCs w:val="19"/>
        </w:rPr>
        <w:t xml:space="preserve">BEST PRACTICES — MODULE 9</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0E1F33" w:sz="18"/>
              <w:bottom w:val="single" w:color="D8DCE2" w:sz="4"/>
              <w:right w:val="single" w:color="D8DCE2" w:sz="4"/>
            </w:tcBorders>
            <w:shd w:fill="E8F3FE" w:val="clear"/>
            <w:tcMar>
              <w:top w:type="dxa" w:w="180"/>
              <w:left w:type="dxa" w:w="220"/>
              <w:bottom w:type="dxa" w:w="180"/>
              <w:right w:type="dxa" w:w="220"/>
            </w:tcMar>
          </w:tcPr>
          <w:p>
            <w:pPr>
              <w:spacing w:after="100"/>
            </w:pPr>
            <w:r>
              <w:rPr>
                <w:rFonts w:ascii="Calibri" w:cs="Calibri" w:eastAsia="Calibri" w:hAnsi="Calibri"/>
                <w:b/>
                <w:bCs/>
                <w:color w:val="0E1F33"/>
                <w:spacing w:val="8"/>
                <w:sz w:val="19"/>
                <w:szCs w:val="19"/>
              </w:rPr>
              <w:t xml:space="preserve">APPLY THESE FROM DAY ONE</w:t>
            </w:r>
          </w:p>
          <w:p>
            <w:pPr>
              <w:pStyle w:val="ListParagraph"/>
              <w:numPr>
                <w:ilvl w:val="0"/>
                <w:numId w:val="3"/>
              </w:numPr>
              <w:spacing w:after="70"/>
            </w:pPr>
            <w:r>
              <w:rPr>
                <w:rFonts w:ascii="Calibri" w:cs="Calibri" w:eastAsia="Calibri" w:hAnsi="Calibri"/>
                <w:color w:val="5C6678"/>
                <w:sz w:val="20"/>
                <w:szCs w:val="20"/>
              </w:rPr>
              <w:t xml:space="preserve">Always print and scan barcoded labels on sample tubes — this single habit makes Sample Matching fully automatic and is explicitly recommended as best practice.</w:t>
            </w:r>
          </w:p>
          <w:p>
            <w:pPr>
              <w:pStyle w:val="ListParagraph"/>
              <w:numPr>
                <w:ilvl w:val="0"/>
                <w:numId w:val="3"/>
              </w:numPr>
              <w:spacing w:after="70"/>
            </w:pPr>
            <w:r>
              <w:rPr>
                <w:rFonts w:ascii="Calibri" w:cs="Calibri" w:eastAsia="Calibri" w:hAnsi="Calibri"/>
                <w:color w:val="5C6678"/>
                <w:sz w:val="20"/>
                <w:szCs w:val="20"/>
              </w:rPr>
              <w:t xml:space="preserve">Confirm your analyser's protocol (ASTM or HL7) from its own LIS connectivity manual or vendor support before attempting to add it to the Gateway, rather than guessing.</w:t>
            </w:r>
          </w:p>
          <w:p>
            <w:pPr>
              <w:pStyle w:val="ListParagraph"/>
              <w:numPr>
                <w:ilvl w:val="0"/>
                <w:numId w:val="3"/>
              </w:numPr>
              <w:spacing w:after="70"/>
            </w:pPr>
            <w:r>
              <w:rPr>
                <w:rFonts w:ascii="Calibri" w:cs="Calibri" w:eastAsia="Calibri" w:hAnsi="Calibri"/>
                <w:color w:val="5C6678"/>
                <w:sz w:val="20"/>
                <w:szCs w:val="20"/>
              </w:rPr>
              <w:t xml:space="preserve">Check the Gateway's sync status dot and pending count regularly, treating a persistently non-zero pending count as worth investigating.</w:t>
            </w:r>
          </w:p>
          <w:p>
            <w:pPr>
              <w:pStyle w:val="ListParagraph"/>
              <w:numPr>
                <w:ilvl w:val="0"/>
                <w:numId w:val="3"/>
              </w:numPr>
              <w:spacing w:after="70"/>
            </w:pPr>
            <w:r>
              <w:rPr>
                <w:rFonts w:ascii="Calibri" w:cs="Calibri" w:eastAsia="Calibri" w:hAnsi="Calibri"/>
                <w:color w:val="5C6678"/>
                <w:sz w:val="20"/>
                <w:szCs w:val="20"/>
              </w:rPr>
              <w:t xml:space="preserve">Keep a record of each analyser's connection details (COM port, baud rate, or IP/port) for your laboratory, since this information is needed again for any future PC replacement or Gateway reinstallation.</w:t>
            </w:r>
          </w:p>
        </w:tc>
      </w:tr>
    </w:tbl>
    <w:p>
      <w:pPr>
        <w:spacing w:after="180"/>
      </w:pPr>
    </w:p>
    <w:p>
      <w:pPr>
        <w:pBdr>
          <w:top w:val="single" w:color="0E1F33" w:sz="14" w:space="10"/>
        </w:pBdr>
        <w:spacing w:after="200" w:before="360"/>
      </w:pPr>
      <w:r>
        <w:rPr>
          <w:rFonts w:ascii="Calibri" w:cs="Calibri" w:eastAsia="Calibri" w:hAnsi="Calibri"/>
          <w:b/>
          <w:bCs/>
          <w:color w:val="0E1F33"/>
          <w:spacing w:val="10"/>
          <w:sz w:val="19"/>
          <w:szCs w:val="19"/>
        </w:rPr>
        <w:t xml:space="preserve">COMMON MISTAKES — MODULE 9</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A8552E" w:sz="18"/>
              <w:bottom w:val="single" w:color="D8DCE2" w:sz="4"/>
              <w:right w:val="single" w:color="D8DCE2" w:sz="4"/>
            </w:tcBorders>
            <w:shd w:fill="F7F5F0" w:val="clear"/>
            <w:tcMar>
              <w:top w:type="dxa" w:w="180"/>
              <w:left w:type="dxa" w:w="220"/>
              <w:bottom w:type="dxa" w:w="180"/>
              <w:right w:type="dxa" w:w="220"/>
            </w:tcMar>
          </w:tcPr>
          <w:p>
            <w:pPr>
              <w:spacing w:after="100"/>
            </w:pPr>
            <w:r>
              <w:rPr>
                <w:rFonts w:ascii="Calibri" w:cs="Calibri" w:eastAsia="Calibri" w:hAnsi="Calibri"/>
                <w:b/>
                <w:bCs/>
                <w:color w:val="A8552E"/>
                <w:spacing w:val="8"/>
                <w:sz w:val="19"/>
                <w:szCs w:val="19"/>
              </w:rPr>
              <w:t xml:space="preserve">WATCH FOR THESE</w:t>
            </w:r>
          </w:p>
          <w:p>
            <w:pPr>
              <w:pStyle w:val="ListParagraph"/>
              <w:numPr>
                <w:ilvl w:val="0"/>
                <w:numId w:val="3"/>
              </w:numPr>
              <w:spacing w:after="70"/>
            </w:pPr>
            <w:r>
              <w:rPr>
                <w:rFonts w:ascii="Calibri" w:cs="Calibri" w:eastAsia="Calibri" w:hAnsi="Calibri"/>
                <w:color w:val="5C6678"/>
                <w:sz w:val="20"/>
                <w:szCs w:val="20"/>
              </w:rPr>
              <w:t xml:space="preserve">Treating the Windows SmartScreen warning as a sign something is wrong, rather than recognising it as a known, expected step for a correctly signed installer.</w:t>
            </w:r>
          </w:p>
          <w:p>
            <w:pPr>
              <w:pStyle w:val="ListParagraph"/>
              <w:numPr>
                <w:ilvl w:val="0"/>
                <w:numId w:val="3"/>
              </w:numPr>
              <w:spacing w:after="70"/>
            </w:pPr>
            <w:r>
              <w:rPr>
                <w:rFonts w:ascii="Calibri" w:cs="Calibri" w:eastAsia="Calibri" w:hAnsi="Calibri"/>
                <w:color w:val="5C6678"/>
                <w:sz w:val="20"/>
                <w:szCs w:val="20"/>
              </w:rPr>
              <w:t xml:space="preserve">Guessing at a COM port or baud rate rather than checking Device Manager and the analyser's own manual.</w:t>
            </w:r>
          </w:p>
          <w:p>
            <w:pPr>
              <w:pStyle w:val="ListParagraph"/>
              <w:numPr>
                <w:ilvl w:val="0"/>
                <w:numId w:val="3"/>
              </w:numPr>
              <w:spacing w:after="70"/>
            </w:pPr>
            <w:r>
              <w:rPr>
                <w:rFonts w:ascii="Calibri" w:cs="Calibri" w:eastAsia="Calibri" w:hAnsi="Calibri"/>
                <w:color w:val="5C6678"/>
                <w:sz w:val="20"/>
                <w:szCs w:val="20"/>
              </w:rPr>
              <w:t xml:space="preserve">Relying on Patient ID as the primary sample-matching method when barcode scanning was available and simply wasn't used at collection.</w:t>
            </w:r>
          </w:p>
          <w:p>
            <w:pPr>
              <w:pStyle w:val="ListParagraph"/>
              <w:numPr>
                <w:ilvl w:val="0"/>
                <w:numId w:val="3"/>
              </w:numPr>
              <w:spacing w:after="70"/>
            </w:pPr>
            <w:r>
              <w:rPr>
                <w:rFonts w:ascii="Calibri" w:cs="Calibri" w:eastAsia="Calibri" w:hAnsi="Calibri"/>
                <w:color w:val="5C6678"/>
                <w:sz w:val="20"/>
                <w:szCs w:val="20"/>
              </w:rPr>
              <w:t xml:space="preserve">Assuming a result is permanently lost when the internet drops, rather than understanding it is safely queued locally until sync resumes.</w:t>
            </w:r>
          </w:p>
        </w:tc>
      </w:tr>
    </w:tbl>
    <w:p>
      <w:r>
        <w:br w:type="page"/>
      </w:r>
    </w:p>
    <w:p>
      <w:pPr>
        <w:spacing w:after="60"/>
      </w:pPr>
      <w:r>
        <w:rPr>
          <w:rFonts w:ascii="Calibri" w:cs="Calibri" w:eastAsia="Calibri" w:hAnsi="Calibri"/>
          <w:b/>
          <w:bCs/>
          <w:color w:val="A8552E"/>
          <w:spacing w:val="14"/>
          <w:sz w:val="17"/>
          <w:szCs w:val="17"/>
        </w:rPr>
        <w:t xml:space="preserve">LESSON 9.1</w:t>
      </w:r>
    </w:p>
    <w:p>
      <w:pPr>
        <w:pStyle w:val="Heading1"/>
      </w:pPr>
      <w:r>
        <w:rPr>
          <w:rFonts w:ascii="Calibri" w:cs="Calibri" w:eastAsia="Calibri" w:hAnsi="Calibri"/>
        </w:rPr>
        <w:t xml:space="preserve">What the Gateway Is and Getting It Installed</w:t>
      </w:r>
    </w:p>
    <w:p>
      <w:pPr>
        <w:spacing w:after="200"/>
      </w:pPr>
      <w:r>
        <w:rPr>
          <w:rFonts w:ascii="Calibri" w:cs="Calibri" w:eastAsia="Calibri" w:hAnsi="Calibri"/>
          <w:color w:val="5C6678"/>
          <w:sz w:val="23"/>
          <w:szCs w:val="23"/>
        </w:rPr>
        <w:t xml:space="preserve">Before connecting a single analyser, a learner needs to understand exactly what problem the Gateway solves and how to get it correctly installed and configured on a Windows PC.</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covers what the Instrument Gateway does, the five-step journey a result takes from analyser to LabOS, system requirements, and the complete installation and first-time configuration process. By the end, a learner should be able to explain the Gateway's purpose clearly and install it correctly on a new PC without assistance.</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Module 1 named manual transcription as one of the most common causes of patient harm in laboratory medicine — a busy technician re-typing dozens of analyser results a day will, eventually and statistically inevitably, make a transposition error that a busy shift doesn't catch. The Gateway removes this risk structurally, not by asking technicians to be more careful, but by removing the manual re-typing step from the workflow entirely. Understanding the Gateway as a direct patient-safety intervention, not merely a convenience feature, is the right frame for everything that follows in this module.</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What the Gateway is: a Windows desktop application running on the PC physically connected to the analyser.</w:t>
      </w:r>
    </w:p>
    <w:p>
      <w:pPr>
        <w:pStyle w:val="ListParagraph"/>
        <w:numPr>
          <w:ilvl w:val="0"/>
          <w:numId w:val="3"/>
        </w:numPr>
        <w:spacing w:after="90"/>
      </w:pPr>
      <w:r>
        <w:rPr>
          <w:rFonts w:ascii="Calibri" w:cs="Calibri" w:eastAsia="Calibri" w:hAnsi="Calibri"/>
          <w:color w:val="5C6678"/>
          <w:sz w:val="21"/>
          <w:szCs w:val="21"/>
        </w:rPr>
        <w:t xml:space="preserve">The five-step result journey: analyser sends → Gateway receives and parses (ASTM/HL7) → result matched to the correct request → validated against reference ranges and critical values → appears in the Clinical Laboratory screen for review.</w:t>
      </w:r>
    </w:p>
    <w:p>
      <w:pPr>
        <w:pStyle w:val="ListParagraph"/>
        <w:numPr>
          <w:ilvl w:val="0"/>
          <w:numId w:val="3"/>
        </w:numPr>
        <w:spacing w:after="90"/>
      </w:pPr>
      <w:r>
        <w:rPr>
          <w:rFonts w:ascii="Calibri" w:cs="Calibri" w:eastAsia="Calibri" w:hAnsi="Calibri"/>
          <w:color w:val="5C6678"/>
          <w:sz w:val="21"/>
          <w:szCs w:val="21"/>
        </w:rPr>
        <w:t xml:space="preserve">System requirements: Windows 10/11 64-bit, physical analyser connection, internet for syncing (offline collection still works), 200 MB free disk space.</w:t>
      </w:r>
    </w:p>
    <w:p>
      <w:pPr>
        <w:pStyle w:val="ListParagraph"/>
        <w:numPr>
          <w:ilvl w:val="0"/>
          <w:numId w:val="3"/>
        </w:numPr>
        <w:spacing w:after="90"/>
      </w:pPr>
      <w:r>
        <w:rPr>
          <w:rFonts w:ascii="Calibri" w:cs="Calibri" w:eastAsia="Calibri" w:hAnsi="Calibri"/>
          <w:color w:val="5C6678"/>
          <w:sz w:val="21"/>
          <w:szCs w:val="21"/>
        </w:rPr>
        <w:t xml:space="preserve">The "one Gateway per PC, manages multiple analysers" model.</w:t>
      </w:r>
    </w:p>
    <w:p>
      <w:pPr>
        <w:pStyle w:val="ListParagraph"/>
        <w:numPr>
          <w:ilvl w:val="0"/>
          <w:numId w:val="3"/>
        </w:numPr>
        <w:spacing w:after="90"/>
      </w:pPr>
      <w:r>
        <w:rPr>
          <w:rFonts w:ascii="Calibri" w:cs="Calibri" w:eastAsia="Calibri" w:hAnsi="Calibri"/>
          <w:color w:val="5C6678"/>
          <w:sz w:val="21"/>
          <w:szCs w:val="21"/>
        </w:rPr>
        <w:t xml:space="preserve">Installation: downloading the signed installer, handling the SmartScreen warning, completing the setup wizard.</w:t>
      </w:r>
    </w:p>
    <w:p>
      <w:pPr>
        <w:pStyle w:val="ListParagraph"/>
        <w:numPr>
          <w:ilvl w:val="0"/>
          <w:numId w:val="3"/>
        </w:numPr>
        <w:spacing w:after="90"/>
      </w:pPr>
      <w:r>
        <w:rPr>
          <w:rFonts w:ascii="Calibri" w:cs="Calibri" w:eastAsia="Calibri" w:hAnsi="Calibri"/>
          <w:color w:val="5C6678"/>
          <w:sz w:val="21"/>
          <w:szCs w:val="21"/>
        </w:rPr>
        <w:t xml:space="preserve">First-time configuration: LabOS API URL, API key, Laboratory ID, and Test connection.</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Understanding exactly what problem this solves</w:t>
      </w:r>
    </w:p>
    <w:p>
      <w:pPr>
        <w:spacing w:after="160"/>
      </w:pPr>
      <w:r>
        <w:rPr>
          <w:rFonts w:ascii="Calibri" w:cs="Calibri" w:eastAsia="Calibri" w:hAnsi="Calibri"/>
          <w:color w:val="5C6678"/>
          <w:sz w:val="21"/>
          <w:szCs w:val="21"/>
        </w:rPr>
        <w:t xml:space="preserve">Most laboratory analysers produce results electronically, but without the Gateway, a technician still has to manually re-type each one into LabOS — a slow process and a genuine source of both transcription disputes and outright errors. The Instrument Gateway eliminates this step entirely: it is a small Windows application installed on the PC physically connected to the analyser, and it receives results automatically the instant the analyser produces them, then pushes them directly into LabOS without any human re-typing involved.</w:t>
      </w:r>
    </w:p>
    <w:p>
      <w:pPr>
        <w:spacing w:after="100" w:before="220"/>
      </w:pPr>
      <w:r>
        <w:rPr>
          <w:rFonts w:ascii="Calibri" w:cs="Calibri" w:eastAsia="Calibri" w:hAnsi="Calibri"/>
          <w:b/>
          <w:bCs/>
          <w:color w:val="0E1F33"/>
          <w:sz w:val="20"/>
          <w:szCs w:val="20"/>
        </w:rPr>
        <w:t xml:space="preserve">Following the result's five-step journey</w:t>
      </w:r>
    </w:p>
    <w:p>
      <w:pPr>
        <w:spacing w:after="160"/>
      </w:pPr>
      <w:r>
        <w:rPr>
          <w:rFonts w:ascii="Calibri" w:cs="Calibri" w:eastAsia="Calibri" w:hAnsi="Calibri"/>
          <w:color w:val="5C6678"/>
          <w:sz w:val="21"/>
          <w:szCs w:val="21"/>
        </w:rPr>
        <w:t xml:space="preserve">Understanding this journey end to end is what makes troubleshooting possible later. First, the analyser completes a test run and sends the result over its serial cable or network connection. Second, the Gateway receives this raw message — in ASTM or HL7 format — parses it, and extracts the patient and result data from it. Third, the result is matched to the correct patient request in LabOS, using the Sample Matching Engine covered fully in Lesson 9.3. Fourth, the result is validated against reference ranges and checked for critical values, applying the same flagging logic introduced in Module 3. Fifth and finally, the result appears in the LabOS Clinical Laboratory screen, ready for a scientist to review and release — at this point, the Gateway's job is complete and the normal LabOS workflow takes over.</w:t>
      </w:r>
    </w:p>
    <w:p>
      <w:pPr>
        <w:spacing w:after="100" w:before="220"/>
      </w:pPr>
      <w:r>
        <w:rPr>
          <w:rFonts w:ascii="Calibri" w:cs="Calibri" w:eastAsia="Calibri" w:hAnsi="Calibri"/>
          <w:b/>
          <w:bCs/>
          <w:color w:val="0E1F33"/>
          <w:sz w:val="20"/>
          <w:szCs w:val="20"/>
        </w:rPr>
        <w:t xml:space="preserve">Confirming the PC meets requirements</w:t>
      </w:r>
    </w:p>
    <w:p>
      <w:pPr>
        <w:spacing w:after="160"/>
      </w:pPr>
      <w:r>
        <w:rPr>
          <w:rFonts w:ascii="Calibri" w:cs="Calibri" w:eastAsia="Calibri" w:hAnsi="Calibri"/>
          <w:color w:val="5C6678"/>
          <w:sz w:val="21"/>
          <w:szCs w:val="21"/>
        </w:rPr>
        <w:t xml:space="preserve">Before installing, the PC needs Windows 10 or 11 (64-bit specifically), a physical connection to the analyser via RS-232 serial cable, USB-to-serial adapter, or network cable, internet access for syncing results to LabOS (though offline result collection still works without it, as covered in Lesson 9.3), and at least 200 MB of free disk space. One important efficiency point: only one Gateway installation is needed per PC, even if that single PC happens to be connected to multiple analysers — the Gateway manages all of those connections from a single dashboard, rather than requiring a separate installation per instrument.</w:t>
      </w:r>
    </w:p>
    <w:p>
      <w:pPr>
        <w:spacing w:after="100" w:before="220"/>
      </w:pPr>
      <w:r>
        <w:rPr>
          <w:rFonts w:ascii="Calibri" w:cs="Calibri" w:eastAsia="Calibri" w:hAnsi="Calibri"/>
          <w:b/>
          <w:bCs/>
          <w:color w:val="0E1F33"/>
          <w:sz w:val="20"/>
          <w:szCs w:val="20"/>
        </w:rPr>
        <w:t xml:space="preserve">Installing without being thrown off by the SmartScreen warning</w:t>
      </w:r>
    </w:p>
    <w:p>
      <w:pPr>
        <w:spacing w:after="160"/>
      </w:pPr>
      <w:r>
        <w:rPr>
          <w:rFonts w:ascii="Calibri" w:cs="Calibri" w:eastAsia="Calibri" w:hAnsi="Calibri"/>
          <w:color w:val="5C6678"/>
          <w:sz w:val="21"/>
          <w:szCs w:val="21"/>
        </w:rPr>
        <w:t xml:space="preserve">After downloading LabOS Instrument Gateway Setup.exe from a LabOS administrator, double-clicking it begins installation. Windows SmartScreen may show a caution warning at this point — this is expected and not a sign of a problem; the correct action is to click More info, then Run anyway, since the application is properly signed by AgoroX Technologies. Continuing through Next, choosing an installation folder, and clicking Install completes the process, and Finish opens the Gateway automatically. The installer also creates a desktop shortcut and a system tray icon, and the Gateway is configured to run in the background automatically whenever Windows starts — meaning, once correctly set up, it requires no manual relaunching each day.</w:t>
      </w:r>
    </w:p>
    <w:p>
      <w:pPr>
        <w:spacing w:after="100" w:before="220"/>
      </w:pPr>
      <w:r>
        <w:rPr>
          <w:rFonts w:ascii="Calibri" w:cs="Calibri" w:eastAsia="Calibri" w:hAnsi="Calibri"/>
          <w:b/>
          <w:bCs/>
          <w:color w:val="0E1F33"/>
          <w:sz w:val="20"/>
          <w:szCs w:val="20"/>
        </w:rPr>
        <w:t xml:space="preserve">Completing first-time configuration correctly</w:t>
      </w:r>
    </w:p>
    <w:p>
      <w:pPr>
        <w:spacing w:after="160"/>
      </w:pPr>
      <w:r>
        <w:rPr>
          <w:rFonts w:ascii="Calibri" w:cs="Calibri" w:eastAsia="Calibri" w:hAnsi="Calibri"/>
          <w:color w:val="5C6678"/>
          <w:sz w:val="21"/>
          <w:szCs w:val="21"/>
        </w:rPr>
        <w:t xml:space="preserve">After installation, the Gateway's own Settings screen requires three pieces of information, all provided by AgoroX Technologies: the LabOS API URL, the API key (the anon public key from the laboratory's Supabase project), and the Laboratory ID (the specific tenant ID assigned to that laboratory). Clicking Test connection confirms the Gateway can actually reach LabOS with these credentials before relying on them, and Save settings completes the setup — this test-before-trust pattern echoes the same discipline emphasised for Termii and Paystack connections back in Module 6.</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Confirm the target PC meets all four requirements (OS version, physical connection, internet access, disk space) before beginning installation, avoiding a partial setup that has to be redone.</w:t>
      </w:r>
    </w:p>
    <w:p>
      <w:pPr>
        <w:pStyle w:val="ListParagraph"/>
        <w:numPr>
          <w:ilvl w:val="0"/>
          <w:numId w:val="3"/>
        </w:numPr>
        <w:spacing w:after="90"/>
      </w:pPr>
      <w:r>
        <w:rPr>
          <w:rFonts w:ascii="Calibri" w:cs="Calibri" w:eastAsia="Calibri" w:hAnsi="Calibri"/>
          <w:color w:val="5C6678"/>
          <w:sz w:val="21"/>
          <w:szCs w:val="21"/>
        </w:rPr>
        <w:t xml:space="preserve">Treat the SmartScreen warning calmly as an expected step, not a reason to abandon or second-guess the installation.</w:t>
      </w:r>
    </w:p>
    <w:p>
      <w:pPr>
        <w:pStyle w:val="ListParagraph"/>
        <w:numPr>
          <w:ilvl w:val="0"/>
          <w:numId w:val="3"/>
        </w:numPr>
        <w:spacing w:after="90"/>
      </w:pPr>
      <w:r>
        <w:rPr>
          <w:rFonts w:ascii="Calibri" w:cs="Calibri" w:eastAsia="Calibri" w:hAnsi="Calibri"/>
          <w:color w:val="5C6678"/>
          <w:sz w:val="21"/>
          <w:szCs w:val="21"/>
        </w:rPr>
        <w:t xml:space="preserve">Always click Test connection after entering Gateway configuration details, confirming connectivity before considering setup complete.</w:t>
      </w:r>
    </w:p>
    <w:p>
      <w:pPr>
        <w:pStyle w:val="ListParagraph"/>
        <w:numPr>
          <w:ilvl w:val="0"/>
          <w:numId w:val="3"/>
        </w:numPr>
        <w:spacing w:after="90"/>
      </w:pPr>
      <w:r>
        <w:rPr>
          <w:rFonts w:ascii="Calibri" w:cs="Calibri" w:eastAsia="Calibri" w:hAnsi="Calibri"/>
          <w:color w:val="5C6678"/>
          <w:sz w:val="21"/>
          <w:szCs w:val="21"/>
        </w:rPr>
        <w:t xml:space="preserve">Document each PC's configured Laboratory ID and connection details somewhere accessible, in case the Gateway ever needs reinstalling after a PC replacement.</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Treating the SmartScreen warning as a security problem and refusing to proceed, blocking a legitimate, correctly signed installation.</w:t>
      </w:r>
    </w:p>
    <w:p>
      <w:pPr>
        <w:pStyle w:val="ListParagraph"/>
        <w:numPr>
          <w:ilvl w:val="0"/>
          <w:numId w:val="3"/>
        </w:numPr>
        <w:spacing w:after="90"/>
      </w:pPr>
      <w:r>
        <w:rPr>
          <w:rFonts w:ascii="Calibri" w:cs="Calibri" w:eastAsia="Calibri" w:hAnsi="Calibri"/>
          <w:color w:val="5C6678"/>
          <w:sz w:val="21"/>
          <w:szCs w:val="21"/>
        </w:rPr>
        <w:t xml:space="preserve">Installing a separate Gateway on a PC that already has one running, rather than simply adding the new analyser to the existing installation.</w:t>
      </w:r>
    </w:p>
    <w:p>
      <w:pPr>
        <w:pStyle w:val="ListParagraph"/>
        <w:numPr>
          <w:ilvl w:val="0"/>
          <w:numId w:val="3"/>
        </w:numPr>
        <w:spacing w:after="90"/>
      </w:pPr>
      <w:r>
        <w:rPr>
          <w:rFonts w:ascii="Calibri" w:cs="Calibri" w:eastAsia="Calibri" w:hAnsi="Calibri"/>
          <w:color w:val="5C6678"/>
          <w:sz w:val="21"/>
          <w:szCs w:val="21"/>
        </w:rPr>
        <w:t xml:space="preserve">Skipping the Test connection step after entering configuration details and only discovering a credential error later when results fail to sync.</w:t>
      </w:r>
    </w:p>
    <w:p>
      <w:pPr>
        <w:pStyle w:val="ListParagraph"/>
        <w:numPr>
          <w:ilvl w:val="0"/>
          <w:numId w:val="3"/>
        </w:numPr>
        <w:spacing w:after="90"/>
      </w:pPr>
      <w:r>
        <w:rPr>
          <w:rFonts w:ascii="Calibri" w:cs="Calibri" w:eastAsia="Calibri" w:hAnsi="Calibri"/>
          <w:color w:val="5C6678"/>
          <w:sz w:val="21"/>
          <w:szCs w:val="21"/>
        </w:rPr>
        <w:t xml:space="preserve">Installing the Gateway on a PC that doesn't meet the 64-bit Windows 10/11 requirement, leading to installation failure or instability.</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9.1 — PLAN A GATEWAY INSTALLATION</w:t>
            </w:r>
          </w:p>
          <w:p>
            <w:r>
              <w:rPr>
                <w:rFonts w:ascii="Calibri" w:cs="Calibri" w:eastAsia="Calibri" w:hAnsi="Calibri"/>
                <w:i/>
                <w:iCs/>
                <w:color w:val="0E1F33"/>
                <w:sz w:val="21"/>
                <w:szCs w:val="21"/>
              </w:rPr>
              <w:t xml:space="preserve">Write out the complete installation sequence from downloading the installer through a successful Test connection, including the specific action you would take if Windows SmartScreen shows a warning. Confirm, in writing, that a target PC meets all four system requirements (listing each one explicitly), and identify what configuration information you would need from AgoroX Technologies before beginning first-time setup. Finally, explain in two to three sentences, using the five-step result journey, exactly what happens between an analyser completing a test and a scientist seeing that result in LabOS.</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Why does the Windows SmartScreen warning appear during Gateway installation, and what is the correct response?</w:t>
      </w:r>
    </w:p>
    <w:p>
      <w:pPr>
        <w:spacing w:after="60"/>
      </w:pPr>
      <w:r>
        <w:rPr>
          <w:rFonts w:ascii="Calibri" w:cs="Calibri" w:eastAsia="Calibri" w:hAnsi="Calibri"/>
          <w:color w:val="5C6678"/>
          <w:sz w:val="20"/>
          <w:szCs w:val="20"/>
        </w:rPr>
        <w:t xml:space="preserve">It's an expected Windows behaviour for installers, not a sign of a genuine problem — the correct response is to click More info then Run anyway, since the Gateway application is properly signed by AgoroX Technologies.</w:t>
      </w:r>
    </w:p>
    <w:p>
      <w:pPr>
        <w:spacing w:after="50" w:before="140"/>
      </w:pPr>
      <w:r>
        <w:rPr>
          <w:rFonts w:ascii="Calibri" w:cs="Calibri" w:eastAsia="Calibri" w:hAnsi="Calibri"/>
          <w:b/>
          <w:bCs/>
          <w:color w:val="0E1F33"/>
          <w:sz w:val="21"/>
          <w:szCs w:val="21"/>
        </w:rPr>
        <w:t xml:space="preserve">2. A laboratory has three different analysers connected to the same PC. How many Gateway installations are needed?</w:t>
      </w:r>
    </w:p>
    <w:p>
      <w:pPr>
        <w:spacing w:after="60"/>
      </w:pPr>
      <w:r>
        <w:rPr>
          <w:rFonts w:ascii="Calibri" w:cs="Calibri" w:eastAsia="Calibri" w:hAnsi="Calibri"/>
          <w:color w:val="5C6678"/>
          <w:sz w:val="20"/>
          <w:szCs w:val="20"/>
        </w:rPr>
        <w:t xml:space="preserve">Just one — a single Gateway installation manages all connections from one dashboard, even when that PC is connected to multiple analysers, so a separate installation per instrument is unnecessary.</w:t>
      </w:r>
    </w:p>
    <w:p>
      <w:pPr>
        <w:spacing w:after="50" w:before="140"/>
      </w:pPr>
      <w:r>
        <w:rPr>
          <w:rFonts w:ascii="Calibri" w:cs="Calibri" w:eastAsia="Calibri" w:hAnsi="Calibri"/>
          <w:b/>
          <w:bCs/>
          <w:color w:val="0E1F33"/>
          <w:sz w:val="21"/>
          <w:szCs w:val="21"/>
        </w:rPr>
        <w:t xml:space="preserve">3. At which step in the five-step result journey does the Gateway's responsibility end and the normal LabOS clinical workflow begin?</w:t>
      </w:r>
    </w:p>
    <w:p>
      <w:pPr>
        <w:spacing w:after="60"/>
      </w:pPr>
      <w:r>
        <w:rPr>
          <w:rFonts w:ascii="Calibri" w:cs="Calibri" w:eastAsia="Calibri" w:hAnsi="Calibri"/>
          <w:color w:val="5C6678"/>
          <w:sz w:val="20"/>
          <w:szCs w:val="20"/>
        </w:rPr>
        <w:t xml:space="preserve">After step five, when the validated result appears in the Clinical Laboratory screen ready for scientist review and release — at that point the result is in LabOS's standard results-management workflow, the same one covered in Module 3, and the Gateway's specific job of automated transfer and matching is complete.</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9.1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"What the Gateway Is and Getting It Installed" — CLA Module 9, Lesson 1</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explain the Gateway's purpose and install it correctly on a Windows PC, including first-time configuration.</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8–10 minutes</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Screen recording of a real installation, with presenter voiceover throughout</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4"/>
        </w:numPr>
        <w:spacing w:after="90"/>
      </w:pPr>
      <w:r>
        <w:rPr>
          <w:rFonts w:ascii="Calibri" w:cs="Calibri" w:eastAsia="Calibri" w:hAnsi="Calibri"/>
          <w:color w:val="5C6678"/>
          <w:sz w:val="21"/>
          <w:szCs w:val="21"/>
        </w:rPr>
        <w:t xml:space="preserve">Cold open (0:00–0:40) — "Somewhere in this building, someone is re-typing analyser results by hand right now. Here's how we stop that."</w:t>
      </w:r>
    </w:p>
    <w:p>
      <w:pPr>
        <w:pStyle w:val="ListParagraph"/>
        <w:numPr>
          <w:ilvl w:val="0"/>
          <w:numId w:val="4"/>
        </w:numPr>
        <w:spacing w:after="90"/>
      </w:pPr>
      <w:r>
        <w:rPr>
          <w:rFonts w:ascii="Calibri" w:cs="Calibri" w:eastAsia="Calibri" w:hAnsi="Calibri"/>
          <w:color w:val="5C6678"/>
          <w:sz w:val="21"/>
          <w:szCs w:val="21"/>
        </w:rPr>
        <w:t xml:space="preserve">The five-step result journey, shown as an animated diagram (0:40–2:15).</w:t>
      </w:r>
    </w:p>
    <w:p>
      <w:pPr>
        <w:pStyle w:val="ListParagraph"/>
        <w:numPr>
          <w:ilvl w:val="0"/>
          <w:numId w:val="4"/>
        </w:numPr>
        <w:spacing w:after="90"/>
      </w:pPr>
      <w:r>
        <w:rPr>
          <w:rFonts w:ascii="Calibri" w:cs="Calibri" w:eastAsia="Calibri" w:hAnsi="Calibri"/>
          <w:color w:val="5C6678"/>
          <w:sz w:val="21"/>
          <w:szCs w:val="21"/>
        </w:rPr>
        <w:t xml:space="preserve">System requirements checklist (2:15–3:00).</w:t>
      </w:r>
    </w:p>
    <w:p>
      <w:pPr>
        <w:pStyle w:val="ListParagraph"/>
        <w:numPr>
          <w:ilvl w:val="0"/>
          <w:numId w:val="4"/>
        </w:numPr>
        <w:spacing w:after="90"/>
      </w:pPr>
      <w:r>
        <w:rPr>
          <w:rFonts w:ascii="Calibri" w:cs="Calibri" w:eastAsia="Calibri" w:hAnsi="Calibri"/>
          <w:color w:val="5C6678"/>
          <w:sz w:val="21"/>
          <w:szCs w:val="21"/>
        </w:rPr>
        <w:t xml:space="preserve">Live installation: download, SmartScreen warning, setup wizard (3:00–5:30).</w:t>
      </w:r>
    </w:p>
    <w:p>
      <w:pPr>
        <w:pStyle w:val="ListParagraph"/>
        <w:numPr>
          <w:ilvl w:val="0"/>
          <w:numId w:val="4"/>
        </w:numPr>
        <w:spacing w:after="90"/>
      </w:pPr>
      <w:r>
        <w:rPr>
          <w:rFonts w:ascii="Calibri" w:cs="Calibri" w:eastAsia="Calibri" w:hAnsi="Calibri"/>
          <w:color w:val="5C6678"/>
          <w:sz w:val="21"/>
          <w:szCs w:val="21"/>
        </w:rPr>
        <w:t xml:space="preserve">First-time configuration: API URL, API key, Laboratory ID, Test connection (5:30–7:00).</w:t>
      </w:r>
    </w:p>
    <w:p>
      <w:pPr>
        <w:pStyle w:val="ListParagraph"/>
        <w:numPr>
          <w:ilvl w:val="0"/>
          <w:numId w:val="4"/>
        </w:numPr>
        <w:spacing w:after="90"/>
      </w:pPr>
      <w:r>
        <w:rPr>
          <w:rFonts w:ascii="Calibri" w:cs="Calibri" w:eastAsia="Calibri" w:hAnsi="Calibri"/>
          <w:color w:val="5C6678"/>
          <w:sz w:val="21"/>
          <w:szCs w:val="21"/>
        </w:rPr>
        <w:t xml:space="preserve">Close + transition to Lesson 9.2 (7:00–end).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Open with a vivid, grounded scenario rather than an abstract statement: "Right now, in laboratories everywhere, someone is reading a number off a screen and typing it into another system by hand — and Module 1 already told us where that leads."</w:t>
      </w:r>
    </w:p>
    <w:p>
      <w:pPr>
        <w:pStyle w:val="ListParagraph"/>
        <w:numPr>
          <w:ilvl w:val="0"/>
          <w:numId w:val="3"/>
        </w:numPr>
        <w:spacing w:after="90"/>
      </w:pPr>
      <w:r>
        <w:rPr>
          <w:rFonts w:ascii="Calibri" w:cs="Calibri" w:eastAsia="Calibri" w:hAnsi="Calibri"/>
          <w:color w:val="5C6678"/>
          <w:sz w:val="21"/>
          <w:szCs w:val="21"/>
        </w:rPr>
        <w:t xml:space="preserve">At the SmartScreen warning, be calm and direct: "This looks alarming, but it's completely expected — click More info, then Run anyway, and keep going."</w:t>
      </w:r>
    </w:p>
    <w:p>
      <w:pPr>
        <w:pStyle w:val="ListParagraph"/>
        <w:numPr>
          <w:ilvl w:val="0"/>
          <w:numId w:val="3"/>
        </w:numPr>
        <w:spacing w:after="90"/>
      </w:pPr>
      <w:r>
        <w:rPr>
          <w:rFonts w:ascii="Calibri" w:cs="Calibri" w:eastAsia="Calibri" w:hAnsi="Calibri"/>
          <w:color w:val="5C6678"/>
          <w:sz w:val="21"/>
          <w:szCs w:val="21"/>
        </w:rPr>
        <w:t xml:space="preserve">During first-time configuration, narrate the source of each credential: "These three values all come from AgoroX Technologies — you're not making any of this up yourself."</w:t>
      </w:r>
    </w:p>
    <w:p>
      <w:pPr>
        <w:pStyle w:val="ListParagraph"/>
        <w:numPr>
          <w:ilvl w:val="0"/>
          <w:numId w:val="3"/>
        </w:numPr>
        <w:spacing w:after="90"/>
      </w:pPr>
      <w:r>
        <w:rPr>
          <w:rFonts w:ascii="Calibri" w:cs="Calibri" w:eastAsia="Calibri" w:hAnsi="Calibri"/>
          <w:color w:val="5C6678"/>
          <w:sz w:val="21"/>
          <w:szCs w:val="21"/>
        </w:rPr>
        <w:t xml:space="preserve">At Test connection, connect explicitly: "Same principle as Termii and Paystack in Module 6 — test before you trust it."</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5"/>
        </w:numPr>
        <w:spacing w:after="90"/>
      </w:pPr>
      <w:r>
        <w:rPr>
          <w:rFonts w:ascii="Calibri" w:cs="Calibri" w:eastAsia="Calibri" w:hAnsi="Calibri"/>
          <w:color w:val="5C6678"/>
          <w:sz w:val="21"/>
          <w:szCs w:val="21"/>
        </w:rPr>
        <w:t xml:space="preserve">Show the animated five-step result journey diagram.</w:t>
      </w:r>
    </w:p>
    <w:p>
      <w:pPr>
        <w:pStyle w:val="ListParagraph"/>
        <w:numPr>
          <w:ilvl w:val="0"/>
          <w:numId w:val="5"/>
        </w:numPr>
        <w:spacing w:after="90"/>
      </w:pPr>
      <w:r>
        <w:rPr>
          <w:rFonts w:ascii="Calibri" w:cs="Calibri" w:eastAsia="Calibri" w:hAnsi="Calibri"/>
          <w:color w:val="5C6678"/>
          <w:sz w:val="21"/>
          <w:szCs w:val="21"/>
        </w:rPr>
        <w:t xml:space="preserve">Show downloading LabOS Instrument Gateway Setup.exe.</w:t>
      </w:r>
    </w:p>
    <w:p>
      <w:pPr>
        <w:pStyle w:val="ListParagraph"/>
        <w:numPr>
          <w:ilvl w:val="0"/>
          <w:numId w:val="5"/>
        </w:numPr>
        <w:spacing w:after="90"/>
      </w:pPr>
      <w:r>
        <w:rPr>
          <w:rFonts w:ascii="Calibri" w:cs="Calibri" w:eastAsia="Calibri" w:hAnsi="Calibri"/>
          <w:color w:val="5C6678"/>
          <w:sz w:val="21"/>
          <w:szCs w:val="21"/>
        </w:rPr>
        <w:t xml:space="preserve">Double-click the installer, show the SmartScreen warning, click More info → Run anyway.</w:t>
      </w:r>
    </w:p>
    <w:p>
      <w:pPr>
        <w:pStyle w:val="ListParagraph"/>
        <w:numPr>
          <w:ilvl w:val="0"/>
          <w:numId w:val="5"/>
        </w:numPr>
        <w:spacing w:after="90"/>
      </w:pPr>
      <w:r>
        <w:rPr>
          <w:rFonts w:ascii="Calibri" w:cs="Calibri" w:eastAsia="Calibri" w:hAnsi="Calibri"/>
          <w:color w:val="5C6678"/>
          <w:sz w:val="21"/>
          <w:szCs w:val="21"/>
        </w:rPr>
        <w:t xml:space="preserve">Step through the setup wizard: Next, choose folder, Install, Finish.</w:t>
      </w:r>
    </w:p>
    <w:p>
      <w:pPr>
        <w:pStyle w:val="ListParagraph"/>
        <w:numPr>
          <w:ilvl w:val="0"/>
          <w:numId w:val="5"/>
        </w:numPr>
        <w:spacing w:after="90"/>
      </w:pPr>
      <w:r>
        <w:rPr>
          <w:rFonts w:ascii="Calibri" w:cs="Calibri" w:eastAsia="Calibri" w:hAnsi="Calibri"/>
          <w:color w:val="5C6678"/>
          <w:sz w:val="21"/>
          <w:szCs w:val="21"/>
        </w:rPr>
        <w:t xml:space="preserve">Show the resulting desktop shortcut and system tray icon.</w:t>
      </w:r>
    </w:p>
    <w:p>
      <w:pPr>
        <w:pStyle w:val="ListParagraph"/>
        <w:numPr>
          <w:ilvl w:val="0"/>
          <w:numId w:val="5"/>
        </w:numPr>
        <w:spacing w:after="90"/>
      </w:pPr>
      <w:r>
        <w:rPr>
          <w:rFonts w:ascii="Calibri" w:cs="Calibri" w:eastAsia="Calibri" w:hAnsi="Calibri"/>
          <w:color w:val="5C6678"/>
          <w:sz w:val="21"/>
          <w:szCs w:val="21"/>
        </w:rPr>
        <w:t xml:space="preserve">Open Settings, enter the LabOS API URL, API key, and Laboratory ID, click Test connection, show the success result, click Save settings.</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The Gateway eliminates manual transcription — a direct patient-safety improvement.</w:t>
      </w:r>
    </w:p>
    <w:p>
      <w:pPr>
        <w:pStyle w:val="ListParagraph"/>
        <w:numPr>
          <w:ilvl w:val="0"/>
          <w:numId w:val="3"/>
        </w:numPr>
        <w:spacing w:after="90"/>
      </w:pPr>
      <w:r>
        <w:rPr>
          <w:rFonts w:ascii="Calibri" w:cs="Calibri" w:eastAsia="Calibri" w:hAnsi="Calibri"/>
          <w:color w:val="5C6678"/>
          <w:sz w:val="21"/>
          <w:szCs w:val="21"/>
        </w:rPr>
        <w:t xml:space="preserve">Five-step journey: analyser sends → Gateway parses → matched → validated → ready for review.</w:t>
      </w:r>
    </w:p>
    <w:p>
      <w:pPr>
        <w:pStyle w:val="ListParagraph"/>
        <w:numPr>
          <w:ilvl w:val="0"/>
          <w:numId w:val="3"/>
        </w:numPr>
        <w:spacing w:after="90"/>
      </w:pPr>
      <w:r>
        <w:rPr>
          <w:rFonts w:ascii="Calibri" w:cs="Calibri" w:eastAsia="Calibri" w:hAnsi="Calibri"/>
          <w:color w:val="5C6678"/>
          <w:sz w:val="21"/>
          <w:szCs w:val="21"/>
        </w:rPr>
        <w:t xml:space="preserve">One Gateway per PC, even with multiple analysers connected.</w:t>
      </w:r>
    </w:p>
    <w:p>
      <w:pPr>
        <w:pStyle w:val="ListParagraph"/>
        <w:numPr>
          <w:ilvl w:val="0"/>
          <w:numId w:val="3"/>
        </w:numPr>
        <w:spacing w:after="90"/>
      </w:pPr>
      <w:r>
        <w:rPr>
          <w:rFonts w:ascii="Calibri" w:cs="Calibri" w:eastAsia="Calibri" w:hAnsi="Calibri"/>
          <w:color w:val="5C6678"/>
          <w:sz w:val="21"/>
          <w:szCs w:val="21"/>
        </w:rPr>
        <w:t xml:space="preserve">SmartScreen warning is expected — click through it; then always Test connection before trusting setup.</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Animated five-step journey diagram, reused from this point forward whenever the Gateway's process is referenced.</w:t>
      </w:r>
    </w:p>
    <w:p>
      <w:pPr>
        <w:pStyle w:val="ListParagraph"/>
        <w:numPr>
          <w:ilvl w:val="0"/>
          <w:numId w:val="3"/>
        </w:numPr>
        <w:spacing w:after="90"/>
      </w:pPr>
      <w:r>
        <w:rPr>
          <w:rFonts w:ascii="Calibri" w:cs="Calibri" w:eastAsia="Calibri" w:hAnsi="Calibri"/>
          <w:color w:val="5C6678"/>
          <w:sz w:val="21"/>
          <w:szCs w:val="21"/>
        </w:rPr>
        <w:t xml:space="preserve">Four-item system-requirements checklist graphic.</w:t>
      </w:r>
    </w:p>
    <w:p>
      <w:pPr>
        <w:pStyle w:val="ListParagraph"/>
        <w:numPr>
          <w:ilvl w:val="0"/>
          <w:numId w:val="3"/>
        </w:numPr>
        <w:spacing w:after="90"/>
      </w:pPr>
      <w:r>
        <w:rPr>
          <w:rFonts w:ascii="Calibri" w:cs="Calibri" w:eastAsia="Calibri" w:hAnsi="Calibri"/>
          <w:color w:val="5C6678"/>
          <w:sz w:val="21"/>
          <w:szCs w:val="21"/>
        </w:rPr>
        <w:t xml:space="preserve">Step-by-step installation wizard screenshots assembled into a brief, clear sequence.</w:t>
      </w:r>
    </w:p>
    <w:p>
      <w:r>
        <w:br w:type="page"/>
      </w:r>
    </w:p>
    <w:p>
      <w:pPr>
        <w:spacing w:after="60"/>
      </w:pPr>
      <w:r>
        <w:rPr>
          <w:rFonts w:ascii="Calibri" w:cs="Calibri" w:eastAsia="Calibri" w:hAnsi="Calibri"/>
          <w:b/>
          <w:bCs/>
          <w:color w:val="A8552E"/>
          <w:spacing w:val="14"/>
          <w:sz w:val="17"/>
          <w:szCs w:val="17"/>
        </w:rPr>
        <w:t xml:space="preserve">LESSON 9.2</w:t>
      </w:r>
    </w:p>
    <w:p>
      <w:pPr>
        <w:pStyle w:val="Heading1"/>
      </w:pPr>
      <w:r>
        <w:rPr>
          <w:rFonts w:ascii="Calibri" w:cs="Calibri" w:eastAsia="Calibri" w:hAnsi="Calibri"/>
        </w:rPr>
        <w:t xml:space="preserve">Connecting an Analyzer Correctly</w:t>
      </w:r>
    </w:p>
    <w:p>
      <w:pPr>
        <w:spacing w:after="200"/>
      </w:pPr>
      <w:r>
        <w:rPr>
          <w:rFonts w:ascii="Calibri" w:cs="Calibri" w:eastAsia="Calibri" w:hAnsi="Calibri"/>
          <w:color w:val="5C6678"/>
          <w:sz w:val="23"/>
          <w:szCs w:val="23"/>
        </w:rPr>
        <w:t xml:space="preserve">With the Gateway installed, this lesson covers the genuinely technical part: choosing the right connection type and protocol for a specific analyser, and finding the technical details — COM ports, baud rates — that make the connection actually work.</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covers the three supported connection types, how to add an analyser to the Gateway, finding a COM port in Windows, and choosing between the ASTM and HL7 protocols based on the actual analyser in use. By the end, a learner should be able to confidently connect a real analyser, including troubleshooting the most common unknowns (which port, which baud rate, which protocol).</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Most African clinical laboratories run a real, identifiable mix of analyser brands and models — Mindray, Sysmex, Erba, Dirui, and others — each with its own connection quirks but a shared underlying protocol standard in the large majority of cases. An administrator who can confidently look at an unfamiliar analyser and correctly determine its connection type and protocol, rather than needing vendor support for every single connection, is significantly more valuable and self-sufficient — and this lesson is built specifically to develop that confidence using the real analyser models a Nigerian laboratory is likely to actually encounter.</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Three connection types: RS-232 Serial (most common in Africa), TCP/IP Network, and File watch.</w:t>
      </w:r>
    </w:p>
    <w:p>
      <w:pPr>
        <w:pStyle w:val="ListParagraph"/>
        <w:numPr>
          <w:ilvl w:val="0"/>
          <w:numId w:val="3"/>
        </w:numPr>
        <w:spacing w:after="90"/>
      </w:pPr>
      <w:r>
        <w:rPr>
          <w:rFonts w:ascii="Calibri" w:cs="Calibri" w:eastAsia="Calibri" w:hAnsi="Calibri"/>
          <w:color w:val="5C6678"/>
          <w:sz w:val="21"/>
          <w:szCs w:val="21"/>
        </w:rPr>
        <w:t xml:space="preserve">The add-analyzer process: name, vendor, model, protocol selection, connection type and details, then Connect.</w:t>
      </w:r>
    </w:p>
    <w:p>
      <w:pPr>
        <w:pStyle w:val="ListParagraph"/>
        <w:numPr>
          <w:ilvl w:val="0"/>
          <w:numId w:val="3"/>
        </w:numPr>
        <w:spacing w:after="90"/>
      </w:pPr>
      <w:r>
        <w:rPr>
          <w:rFonts w:ascii="Calibri" w:cs="Calibri" w:eastAsia="Calibri" w:hAnsi="Calibri"/>
          <w:color w:val="5C6678"/>
          <w:sz w:val="21"/>
          <w:szCs w:val="21"/>
        </w:rPr>
        <w:t xml:space="preserve">Finding a COM port via Windows Device Manager.</w:t>
      </w:r>
    </w:p>
    <w:p>
      <w:pPr>
        <w:pStyle w:val="ListParagraph"/>
        <w:numPr>
          <w:ilvl w:val="0"/>
          <w:numId w:val="3"/>
        </w:numPr>
        <w:spacing w:after="90"/>
      </w:pPr>
      <w:r>
        <w:rPr>
          <w:rFonts w:ascii="Calibri" w:cs="Calibri" w:eastAsia="Calibri" w:hAnsi="Calibri"/>
          <w:color w:val="5C6678"/>
          <w:sz w:val="21"/>
          <w:szCs w:val="21"/>
        </w:rPr>
        <w:t xml:space="preserve">ASTM E1381/E1394 (LIS1-A2/LIS2-A2) as the most widely used protocol in Nigerian and African laboratories, with named supported models from Mindray, Sysmex, Erba, and Dirui.</w:t>
      </w:r>
    </w:p>
    <w:p>
      <w:pPr>
        <w:pStyle w:val="ListParagraph"/>
        <w:numPr>
          <w:ilvl w:val="0"/>
          <w:numId w:val="3"/>
        </w:numPr>
        <w:spacing w:after="90"/>
      </w:pPr>
      <w:r>
        <w:rPr>
          <w:rFonts w:ascii="Calibri" w:cs="Calibri" w:eastAsia="Calibri" w:hAnsi="Calibri"/>
          <w:color w:val="5C6678"/>
          <w:sz w:val="21"/>
          <w:szCs w:val="21"/>
        </w:rPr>
        <w:t xml:space="preserve">HL7 v2.x for higher-end, network-connected analysers, with named supported models from Roche, Siemens Healthineers, and Abbott.</w:t>
      </w:r>
    </w:p>
    <w:p>
      <w:pPr>
        <w:pStyle w:val="ListParagraph"/>
        <w:numPr>
          <w:ilvl w:val="0"/>
          <w:numId w:val="3"/>
        </w:numPr>
        <w:spacing w:after="90"/>
      </w:pPr>
      <w:r>
        <w:rPr>
          <w:rFonts w:ascii="Calibri" w:cs="Calibri" w:eastAsia="Calibri" w:hAnsi="Calibri"/>
          <w:color w:val="5C6678"/>
          <w:sz w:val="21"/>
          <w:szCs w:val="21"/>
        </w:rPr>
        <w:t xml:space="preserve">Determining an unknown analyser's protocol via its manual or vendor support, and the Generic ASTM Driver fallback.</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Choosing the right connection type</w:t>
      </w:r>
    </w:p>
    <w:p>
      <w:pPr>
        <w:spacing w:after="160"/>
      </w:pPr>
      <w:r>
        <w:rPr>
          <w:rFonts w:ascii="Calibri" w:cs="Calibri" w:eastAsia="Calibri" w:hAnsi="Calibri"/>
          <w:color w:val="5C6678"/>
          <w:sz w:val="21"/>
          <w:szCs w:val="21"/>
        </w:rPr>
        <w:t xml:space="preserve">Three connection types are supported, and choosing correctly depends on what the analyser itself offers. RS-232 Serial is the most common type for African laboratories, connecting via a 9-pin serial cable or a USB-to-serial adapter, and requires knowing both the COM port number (for example, COM3) and the baud rate (usually 9600 or 19200, confirmed from the analyser's manual). TCP/IP Network suits modern, Ethernet-connected analysers, requiring the analyser's IP address and port number instead. File watch suits analysers that export results as text or CSV files to a folder rather than streaming them over a cable or network connection — the Gateway simply monitors that folder and imports new files automatically as they appear.</w:t>
      </w:r>
    </w:p>
    <w:p>
      <w:pPr>
        <w:spacing w:after="100" w:before="220"/>
      </w:pPr>
      <w:r>
        <w:rPr>
          <w:rFonts w:ascii="Calibri" w:cs="Calibri" w:eastAsia="Calibri" w:hAnsi="Calibri"/>
          <w:b/>
          <w:bCs/>
          <w:color w:val="0E1F33"/>
          <w:sz w:val="20"/>
          <w:szCs w:val="20"/>
        </w:rPr>
        <w:t xml:space="preserve">Adding an analyzer step by step</w:t>
      </w:r>
    </w:p>
    <w:p>
      <w:pPr>
        <w:spacing w:after="160"/>
      </w:pPr>
      <w:r>
        <w:rPr>
          <w:rFonts w:ascii="Calibri" w:cs="Calibri" w:eastAsia="Calibri" w:hAnsi="Calibri"/>
          <w:color w:val="5C6678"/>
          <w:sz w:val="21"/>
          <w:szCs w:val="21"/>
        </w:rPr>
        <w:t xml:space="preserve">From the Gateway's Settings screen, scrolling to Add analyzer and entering the analyzer's name, vendor, and model begins the process. The protocol is then selected — ASTM for most African laboratory analysers, HL7 for modern Roche and Siemens instruments specifically — followed by the connection type and its corresponding details (COM port and baud rate, or IP address and port, or a watched folder path). Clicking Add analyzer saves the configuration, and a final step — going to the Analyzers screen and clicking Connect next to the new analyzer — actually establishes the live connection.</w:t>
      </w:r>
    </w:p>
    <w:p>
      <w:pPr>
        <w:spacing w:after="100" w:before="220"/>
      </w:pPr>
      <w:r>
        <w:rPr>
          <w:rFonts w:ascii="Calibri" w:cs="Calibri" w:eastAsia="Calibri" w:hAnsi="Calibri"/>
          <w:b/>
          <w:bCs/>
          <w:color w:val="0E1F33"/>
          <w:sz w:val="20"/>
          <w:szCs w:val="20"/>
        </w:rPr>
        <w:t xml:space="preserve">Finding a COM port when it isn't already known</w:t>
      </w:r>
    </w:p>
    <w:p>
      <w:pPr>
        <w:spacing w:after="160"/>
      </w:pPr>
      <w:r>
        <w:rPr>
          <w:rFonts w:ascii="Calibri" w:cs="Calibri" w:eastAsia="Calibri" w:hAnsi="Calibri"/>
          <w:color w:val="5C6678"/>
          <w:sz w:val="21"/>
          <w:szCs w:val="21"/>
        </w:rPr>
        <w:t xml:space="preserve">On the Windows PC itself, right-clicking the Start button and choosing Device Manager, then expanding Ports (COM &amp; LPT), reveals the COM port number assigned to the connected serial or USB-serial device — commonly COM3, COM4, or COM5 in practice. If the baud rate isn't already known from the analyser's manual, trying 9600 first is a reasonable starting point, since most Mindray and Sysmex analysers — among the most common in the region — use either 9600 or 19200.</w:t>
      </w:r>
    </w:p>
    <w:p>
      <w:pPr>
        <w:spacing w:after="100" w:before="220"/>
      </w:pPr>
      <w:r>
        <w:rPr>
          <w:rFonts w:ascii="Calibri" w:cs="Calibri" w:eastAsia="Calibri" w:hAnsi="Calibri"/>
          <w:b/>
          <w:bCs/>
          <w:color w:val="0E1F33"/>
          <w:sz w:val="20"/>
          <w:szCs w:val="20"/>
        </w:rPr>
        <w:t xml:space="preserve">Choosing the right protocol for a real analyser</w:t>
      </w:r>
    </w:p>
    <w:p>
      <w:pPr>
        <w:spacing w:after="160"/>
      </w:pPr>
      <w:r>
        <w:rPr>
          <w:rFonts w:ascii="Calibri" w:cs="Calibri" w:eastAsia="Calibri" w:hAnsi="Calibri"/>
          <w:color w:val="5C6678"/>
          <w:sz w:val="21"/>
          <w:szCs w:val="21"/>
        </w:rPr>
        <w:t xml:space="preserve">ASTM E1381/E1394 — also referred to as LIS1-A2/LIS2-A2 — is by far the most widely used protocol in Nigerian and African laboratories, used by Mindray's BC-3000, BC-5000, and BC-5800 hematology analysers and BS-120, BS-200, and BS-380 chemistry analysers; Sysmex's KX-21, XP-300, and XN-series hematology analysers; Erba's XL-200 and XL-640 chemistry analysers; Dirui's CS-series; and most coagulation, urinalysis, and immunology analysers generally. HL7 v2.x, by contrast, is used by higher-end, network-connected instruments — specifically Roche's Cobas c-series and e-series, Siemens Healthineers' Dimension and Atellica series, and Abbott's Architect series. When an analyser's protocol genuinely isn't known, checking its LIS connectivity manual or calling the vendor's technical support and asking directly whether it supports an ASTM LIS interface or HL7 resolves the question — and as a general rule of thumb, almost all analysers sold in Nigeria support ASTM, while HL7 tends to appear on newer instruments purchased from around 2018 onward. If a specific model genuinely isn't in LabOS's supported list, the Generic ASTM Driver works with any ASTM-compliant analyser, selected manually with the COM port settings configured by hand.</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Confirm an analyser's protocol from its manual or vendor support before guessing, especially for less common or unfamiliar models.</w:t>
      </w:r>
    </w:p>
    <w:p>
      <w:pPr>
        <w:pStyle w:val="ListParagraph"/>
        <w:numPr>
          <w:ilvl w:val="0"/>
          <w:numId w:val="3"/>
        </w:numPr>
        <w:spacing w:after="90"/>
      </w:pPr>
      <w:r>
        <w:rPr>
          <w:rFonts w:ascii="Calibri" w:cs="Calibri" w:eastAsia="Calibri" w:hAnsi="Calibri"/>
          <w:color w:val="5C6678"/>
          <w:sz w:val="21"/>
          <w:szCs w:val="21"/>
        </w:rPr>
        <w:t xml:space="preserve">Check Device Manager for the actual COM port assignment rather than assuming a number, since it can vary between PCs and USB ports.</w:t>
      </w:r>
    </w:p>
    <w:p>
      <w:pPr>
        <w:pStyle w:val="ListParagraph"/>
        <w:numPr>
          <w:ilvl w:val="0"/>
          <w:numId w:val="3"/>
        </w:numPr>
        <w:spacing w:after="90"/>
      </w:pPr>
      <w:r>
        <w:rPr>
          <w:rFonts w:ascii="Calibri" w:cs="Calibri" w:eastAsia="Calibri" w:hAnsi="Calibri"/>
          <w:color w:val="5C6678"/>
          <w:sz w:val="21"/>
          <w:szCs w:val="21"/>
        </w:rPr>
        <w:t xml:space="preserve">Start with 9600 baud as a first attempt when the rate is genuinely unknown, given how common it is among Mindray and Sysmex instruments.</w:t>
      </w:r>
    </w:p>
    <w:p>
      <w:pPr>
        <w:pStyle w:val="ListParagraph"/>
        <w:numPr>
          <w:ilvl w:val="0"/>
          <w:numId w:val="3"/>
        </w:numPr>
        <w:spacing w:after="90"/>
      </w:pPr>
      <w:r>
        <w:rPr>
          <w:rFonts w:ascii="Calibri" w:cs="Calibri" w:eastAsia="Calibri" w:hAnsi="Calibri"/>
          <w:color w:val="5C6678"/>
          <w:sz w:val="21"/>
          <w:szCs w:val="21"/>
        </w:rPr>
        <w:t xml:space="preserve">Reach for the Generic ASTM Driver confidently when a specific model isn't listed, rather than assuming the analyser can't be connected at all.</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Assuming every analyser uses HL7 because it's a newer or higher-end instrument, when ASTM remains by far the more common protocol in the region.</w:t>
      </w:r>
    </w:p>
    <w:p>
      <w:pPr>
        <w:pStyle w:val="ListParagraph"/>
        <w:numPr>
          <w:ilvl w:val="0"/>
          <w:numId w:val="3"/>
        </w:numPr>
        <w:spacing w:after="90"/>
      </w:pPr>
      <w:r>
        <w:rPr>
          <w:rFonts w:ascii="Calibri" w:cs="Calibri" w:eastAsia="Calibri" w:hAnsi="Calibri"/>
          <w:color w:val="5C6678"/>
          <w:sz w:val="21"/>
          <w:szCs w:val="21"/>
        </w:rPr>
        <w:t xml:space="preserve">Guessing a COM port number rather than confirming it in Device Manager, leading to a failed connection attempt.</w:t>
      </w:r>
    </w:p>
    <w:p>
      <w:pPr>
        <w:pStyle w:val="ListParagraph"/>
        <w:numPr>
          <w:ilvl w:val="0"/>
          <w:numId w:val="3"/>
        </w:numPr>
        <w:spacing w:after="90"/>
      </w:pPr>
      <w:r>
        <w:rPr>
          <w:rFonts w:ascii="Calibri" w:cs="Calibri" w:eastAsia="Calibri" w:hAnsi="Calibri"/>
          <w:color w:val="5C6678"/>
          <w:sz w:val="21"/>
          <w:szCs w:val="21"/>
        </w:rPr>
        <w:t xml:space="preserve">Overlooking File watch as a valid connection type for analysers that export to a folder rather than streaming over a cable or network.</w:t>
      </w:r>
    </w:p>
    <w:p>
      <w:pPr>
        <w:pStyle w:val="ListParagraph"/>
        <w:numPr>
          <w:ilvl w:val="0"/>
          <w:numId w:val="3"/>
        </w:numPr>
        <w:spacing w:after="90"/>
      </w:pPr>
      <w:r>
        <w:rPr>
          <w:rFonts w:ascii="Calibri" w:cs="Calibri" w:eastAsia="Calibri" w:hAnsi="Calibri"/>
          <w:color w:val="5C6678"/>
          <w:sz w:val="21"/>
          <w:szCs w:val="21"/>
        </w:rPr>
        <w:t xml:space="preserve">Giving up on connecting an unlisted analyser model rather than trying the Generic ASTM Driver.</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9.2 — CONNECT THREE DIFFERENT ANALYSERS</w:t>
            </w:r>
          </w:p>
          <w:p>
            <w:r>
              <w:rPr>
                <w:rFonts w:ascii="Calibri" w:cs="Calibri" w:eastAsia="Calibri" w:hAnsi="Calibri"/>
                <w:i/>
                <w:iCs/>
                <w:color w:val="0E1F33"/>
                <w:sz w:val="21"/>
                <w:szCs w:val="21"/>
              </w:rPr>
              <w:t xml:space="preserve">For each of the following three scenarios, identify the correct connection type and protocol, and list the specific information you would need to gather: (1) a Mindray BC-5800 hematology analyser with a serial cable; (2) a Roche Cobas c-series analyser on the laboratory's network; (3) an older, unlisted chemistry analyser that exports results as CSV files to a folder. For scenario 1, write out the exact steps you would take in Windows to find its COM port.</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A laboratory has a Sysmex XN-series hematology analyser connected via a serial cable. Which protocol should be selected when adding it to the Gateway?</w:t>
      </w:r>
    </w:p>
    <w:p>
      <w:pPr>
        <w:spacing w:after="60"/>
      </w:pPr>
      <w:r>
        <w:rPr>
          <w:rFonts w:ascii="Calibri" w:cs="Calibri" w:eastAsia="Calibri" w:hAnsi="Calibri"/>
          <w:color w:val="5C6678"/>
          <w:sz w:val="20"/>
          <w:szCs w:val="20"/>
        </w:rPr>
        <w:t xml:space="preserve">ASTM — Sysmex's XN-series is explicitly listed among the analysers using the ASTM E1381/E1394 (LIS1-A2/LIS2-A2) protocol, which is also the most widely used protocol generally in Nigerian and African laboratories.</w:t>
      </w:r>
    </w:p>
    <w:p>
      <w:pPr>
        <w:spacing w:after="50" w:before="140"/>
      </w:pPr>
      <w:r>
        <w:rPr>
          <w:rFonts w:ascii="Calibri" w:cs="Calibri" w:eastAsia="Calibri" w:hAnsi="Calibri"/>
          <w:b/>
          <w:bCs/>
          <w:color w:val="0E1F33"/>
          <w:sz w:val="21"/>
          <w:szCs w:val="21"/>
        </w:rPr>
        <w:t xml:space="preserve">2. How would an administrator find the correct COM port for a newly connected serial analyser?</w:t>
      </w:r>
    </w:p>
    <w:p>
      <w:pPr>
        <w:spacing w:after="60"/>
      </w:pPr>
      <w:r>
        <w:rPr>
          <w:rFonts w:ascii="Calibri" w:cs="Calibri" w:eastAsia="Calibri" w:hAnsi="Calibri"/>
          <w:color w:val="5C6678"/>
          <w:sz w:val="20"/>
          <w:szCs w:val="20"/>
        </w:rPr>
        <w:t xml:space="preserve">By right-clicking the Windows Start button, opening Device Manager, and expanding Ports (COM &amp; LPT) to see the COM port number assigned to the serial or USB-serial device — commonly COM3, COM4, or COM5.</w:t>
      </w:r>
    </w:p>
    <w:p>
      <w:pPr>
        <w:spacing w:after="50" w:before="140"/>
      </w:pPr>
      <w:r>
        <w:rPr>
          <w:rFonts w:ascii="Calibri" w:cs="Calibri" w:eastAsia="Calibri" w:hAnsi="Calibri"/>
          <w:b/>
          <w:bCs/>
          <w:color w:val="0E1F33"/>
          <w:sz w:val="21"/>
          <w:szCs w:val="21"/>
        </w:rPr>
        <w:t xml:space="preserve">3. An older chemistry analyser isn't listed by name in LabOS's supported analyser list, but its manual confirms it supports an ASTM LIS interface. What should the administrator do?</w:t>
      </w:r>
    </w:p>
    <w:p>
      <w:pPr>
        <w:spacing w:after="60"/>
      </w:pPr>
      <w:r>
        <w:rPr>
          <w:rFonts w:ascii="Calibri" w:cs="Calibri" w:eastAsia="Calibri" w:hAnsi="Calibri"/>
          <w:color w:val="5C6678"/>
          <w:sz w:val="20"/>
          <w:szCs w:val="20"/>
        </w:rPr>
        <w:t xml:space="preserve">Select the Generic ASTM Driver when adding the analyzer, since it works with any ASTM-compliant analyser, and configure the COM port settings manually — an unlisted model name doesn't mean the analyser can't be connected, provided it speaks a supported protocol.</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9.2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"Connecting an Analyzer Correctly" — CLA Module 9, Lesson 2</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choose the correct connection type and protocol for a real analyser and complete the add-analyzer process, including finding a COM port.</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9–11 minutes</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Screen recording with presenter voiceover, including a live Device Manager walkthrough</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6"/>
        </w:numPr>
        <w:spacing w:after="90"/>
      </w:pPr>
      <w:r>
        <w:rPr>
          <w:rFonts w:ascii="Calibri" w:cs="Calibri" w:eastAsia="Calibri" w:hAnsi="Calibri"/>
          <w:color w:val="5C6678"/>
          <w:sz w:val="21"/>
          <w:szCs w:val="21"/>
        </w:rPr>
        <w:t xml:space="preserve">Cold open (0:00–0:35) — "Every analyser speaks one of two languages — let's make sure you know which one yours speaks."</w:t>
      </w:r>
    </w:p>
    <w:p>
      <w:pPr>
        <w:pStyle w:val="ListParagraph"/>
        <w:numPr>
          <w:ilvl w:val="0"/>
          <w:numId w:val="6"/>
        </w:numPr>
        <w:spacing w:after="90"/>
      </w:pPr>
      <w:r>
        <w:rPr>
          <w:rFonts w:ascii="Calibri" w:cs="Calibri" w:eastAsia="Calibri" w:hAnsi="Calibri"/>
          <w:color w:val="5C6678"/>
          <w:sz w:val="21"/>
          <w:szCs w:val="21"/>
        </w:rPr>
        <w:t xml:space="preserve">Three connection types, briefly illustrated (0:35–2:00).</w:t>
      </w:r>
    </w:p>
    <w:p>
      <w:pPr>
        <w:pStyle w:val="ListParagraph"/>
        <w:numPr>
          <w:ilvl w:val="0"/>
          <w:numId w:val="6"/>
        </w:numPr>
        <w:spacing w:after="90"/>
      </w:pPr>
      <w:r>
        <w:rPr>
          <w:rFonts w:ascii="Calibri" w:cs="Calibri" w:eastAsia="Calibri" w:hAnsi="Calibri"/>
          <w:color w:val="5C6678"/>
          <w:sz w:val="21"/>
          <w:szCs w:val="21"/>
        </w:rPr>
        <w:t xml:space="preserve">ASTM analyser models, shown as a reference list by manufacturer (2:00–3:30).</w:t>
      </w:r>
    </w:p>
    <w:p>
      <w:pPr>
        <w:pStyle w:val="ListParagraph"/>
        <w:numPr>
          <w:ilvl w:val="0"/>
          <w:numId w:val="6"/>
        </w:numPr>
        <w:spacing w:after="90"/>
      </w:pPr>
      <w:r>
        <w:rPr>
          <w:rFonts w:ascii="Calibri" w:cs="Calibri" w:eastAsia="Calibri" w:hAnsi="Calibri"/>
          <w:color w:val="5C6678"/>
          <w:sz w:val="21"/>
          <w:szCs w:val="21"/>
        </w:rPr>
        <w:t xml:space="preserve">HL7 analyser models, same treatment (3:30–4:30).</w:t>
      </w:r>
    </w:p>
    <w:p>
      <w:pPr>
        <w:pStyle w:val="ListParagraph"/>
        <w:numPr>
          <w:ilvl w:val="0"/>
          <w:numId w:val="6"/>
        </w:numPr>
        <w:spacing w:after="90"/>
      </w:pPr>
      <w:r>
        <w:rPr>
          <w:rFonts w:ascii="Calibri" w:cs="Calibri" w:eastAsia="Calibri" w:hAnsi="Calibri"/>
          <w:color w:val="5C6678"/>
          <w:sz w:val="21"/>
          <w:szCs w:val="21"/>
        </w:rPr>
        <w:t xml:space="preserve">Live Device Manager walkthrough: finding a COM port (4:30–5:45).</w:t>
      </w:r>
    </w:p>
    <w:p>
      <w:pPr>
        <w:pStyle w:val="ListParagraph"/>
        <w:numPr>
          <w:ilvl w:val="0"/>
          <w:numId w:val="6"/>
        </w:numPr>
        <w:spacing w:after="90"/>
      </w:pPr>
      <w:r>
        <w:rPr>
          <w:rFonts w:ascii="Calibri" w:cs="Calibri" w:eastAsia="Calibri" w:hAnsi="Calibri"/>
          <w:color w:val="5C6678"/>
          <w:sz w:val="21"/>
          <w:szCs w:val="21"/>
        </w:rPr>
        <w:t xml:space="preserve">Live add-analyzer demo in the Gateway, end to end (5:45–8:00).</w:t>
      </w:r>
    </w:p>
    <w:p>
      <w:pPr>
        <w:pStyle w:val="ListParagraph"/>
        <w:numPr>
          <w:ilvl w:val="0"/>
          <w:numId w:val="6"/>
        </w:numPr>
        <w:spacing w:after="90"/>
      </w:pPr>
      <w:r>
        <w:rPr>
          <w:rFonts w:ascii="Calibri" w:cs="Calibri" w:eastAsia="Calibri" w:hAnsi="Calibri"/>
          <w:color w:val="5C6678"/>
          <w:sz w:val="21"/>
          <w:szCs w:val="21"/>
        </w:rPr>
        <w:t xml:space="preserve">Generic ASTM Driver fallback, briefly (8:00–8:45).</w:t>
      </w:r>
    </w:p>
    <w:p>
      <w:pPr>
        <w:pStyle w:val="ListParagraph"/>
        <w:numPr>
          <w:ilvl w:val="0"/>
          <w:numId w:val="6"/>
        </w:numPr>
        <w:spacing w:after="90"/>
      </w:pPr>
      <w:r>
        <w:rPr>
          <w:rFonts w:ascii="Calibri" w:cs="Calibri" w:eastAsia="Calibri" w:hAnsi="Calibri"/>
          <w:color w:val="5C6678"/>
          <w:sz w:val="21"/>
          <w:szCs w:val="21"/>
        </w:rPr>
        <w:t xml:space="preserve">Close + transition to Lesson 9.3 (8:45–end).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Frame the protocol choice simply up front: "If you're not sure, start by assuming ASTM — it's right far more often than not in this region."</w:t>
      </w:r>
    </w:p>
    <w:p>
      <w:pPr>
        <w:pStyle w:val="ListParagraph"/>
        <w:numPr>
          <w:ilvl w:val="0"/>
          <w:numId w:val="3"/>
        </w:numPr>
        <w:spacing w:after="90"/>
      </w:pPr>
      <w:r>
        <w:rPr>
          <w:rFonts w:ascii="Calibri" w:cs="Calibri" w:eastAsia="Calibri" w:hAnsi="Calibri"/>
          <w:color w:val="5C6678"/>
          <w:sz w:val="21"/>
          <w:szCs w:val="21"/>
        </w:rPr>
        <w:t xml:space="preserve">While showing the manufacturer model lists, name a couple aloud with familiarity: "Mindray BC-5800, Sysmex XN-series — if any of these sound familiar, you already know your protocol."</w:t>
      </w:r>
    </w:p>
    <w:p>
      <w:pPr>
        <w:pStyle w:val="ListParagraph"/>
        <w:numPr>
          <w:ilvl w:val="0"/>
          <w:numId w:val="3"/>
        </w:numPr>
        <w:spacing w:after="90"/>
      </w:pPr>
      <w:r>
        <w:rPr>
          <w:rFonts w:ascii="Calibri" w:cs="Calibri" w:eastAsia="Calibri" w:hAnsi="Calibri"/>
          <w:color w:val="5C6678"/>
          <w:sz w:val="21"/>
          <w:szCs w:val="21"/>
        </w:rPr>
        <w:t xml:space="preserve">During the Device Manager walkthrough, narrate it as if helping someone unfamiliar with Windows admin tools: "Right-click Start, not left-click — that's the step people miss."</w:t>
      </w:r>
    </w:p>
    <w:p>
      <w:pPr>
        <w:pStyle w:val="ListParagraph"/>
        <w:numPr>
          <w:ilvl w:val="0"/>
          <w:numId w:val="3"/>
        </w:numPr>
        <w:spacing w:after="90"/>
      </w:pPr>
      <w:r>
        <w:rPr>
          <w:rFonts w:ascii="Calibri" w:cs="Calibri" w:eastAsia="Calibri" w:hAnsi="Calibri"/>
          <w:color w:val="5C6678"/>
          <w:sz w:val="21"/>
          <w:szCs w:val="21"/>
        </w:rPr>
        <w:t xml:space="preserve">At the Generic ASTM Driver, be reassuring: "Don't see your exact model? That's not a dead end — this driver covers you."</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7"/>
        </w:numPr>
        <w:spacing w:after="90"/>
      </w:pPr>
      <w:r>
        <w:rPr>
          <w:rFonts w:ascii="Calibri" w:cs="Calibri" w:eastAsia="Calibri" w:hAnsi="Calibri"/>
          <w:color w:val="5C6678"/>
          <w:sz w:val="21"/>
          <w:szCs w:val="21"/>
        </w:rPr>
        <w:t xml:space="preserve">Cut to a clean reference table: ASTM analysers (Mindray, Sysmex, Erba, Dirui models) vs. HL7 analysers (Roche, Siemens, Abbott models).</w:t>
      </w:r>
    </w:p>
    <w:p>
      <w:pPr>
        <w:pStyle w:val="ListParagraph"/>
        <w:numPr>
          <w:ilvl w:val="0"/>
          <w:numId w:val="7"/>
        </w:numPr>
        <w:spacing w:after="90"/>
      </w:pPr>
      <w:r>
        <w:rPr>
          <w:rFonts w:ascii="Calibri" w:cs="Calibri" w:eastAsia="Calibri" w:hAnsi="Calibri"/>
          <w:color w:val="5C6678"/>
          <w:sz w:val="21"/>
          <w:szCs w:val="21"/>
        </w:rPr>
        <w:t xml:space="preserve">Right-click Start → Device Manager → expand Ports (COM &amp; LPT), point to the COM port number.</w:t>
      </w:r>
    </w:p>
    <w:p>
      <w:pPr>
        <w:pStyle w:val="ListParagraph"/>
        <w:numPr>
          <w:ilvl w:val="0"/>
          <w:numId w:val="7"/>
        </w:numPr>
        <w:spacing w:after="90"/>
      </w:pPr>
      <w:r>
        <w:rPr>
          <w:rFonts w:ascii="Calibri" w:cs="Calibri" w:eastAsia="Calibri" w:hAnsi="Calibri"/>
          <w:color w:val="5C6678"/>
          <w:sz w:val="21"/>
          <w:szCs w:val="21"/>
        </w:rPr>
        <w:t xml:space="preserve">In the Gateway, Settings → Add analyzer: enter name, vendor, model, select ASTM, select RS-232 Serial, enter the COM port and 9600 baud.</w:t>
      </w:r>
    </w:p>
    <w:p>
      <w:pPr>
        <w:pStyle w:val="ListParagraph"/>
        <w:numPr>
          <w:ilvl w:val="0"/>
          <w:numId w:val="7"/>
        </w:numPr>
        <w:spacing w:after="90"/>
      </w:pPr>
      <w:r>
        <w:rPr>
          <w:rFonts w:ascii="Calibri" w:cs="Calibri" w:eastAsia="Calibri" w:hAnsi="Calibri"/>
          <w:color w:val="5C6678"/>
          <w:sz w:val="21"/>
          <w:szCs w:val="21"/>
        </w:rPr>
        <w:t xml:space="preserve">Click Add analyzer, then go to Analyzers screen, click Connect, show the resulting connected status.</w:t>
      </w:r>
    </w:p>
    <w:p>
      <w:pPr>
        <w:pStyle w:val="ListParagraph"/>
        <w:numPr>
          <w:ilvl w:val="0"/>
          <w:numId w:val="7"/>
        </w:numPr>
        <w:spacing w:after="90"/>
      </w:pPr>
      <w:r>
        <w:rPr>
          <w:rFonts w:ascii="Calibri" w:cs="Calibri" w:eastAsia="Calibri" w:hAnsi="Calibri"/>
          <w:color w:val="5C6678"/>
          <w:sz w:val="21"/>
          <w:szCs w:val="21"/>
        </w:rPr>
        <w:t xml:space="preserve">Briefly show selecting the Generic ASTM Driver for an unlisted model.</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Three connection types: RS-232 Serial (most common), TCP/IP Network, File watch.</w:t>
      </w:r>
    </w:p>
    <w:p>
      <w:pPr>
        <w:pStyle w:val="ListParagraph"/>
        <w:numPr>
          <w:ilvl w:val="0"/>
          <w:numId w:val="3"/>
        </w:numPr>
        <w:spacing w:after="90"/>
      </w:pPr>
      <w:r>
        <w:rPr>
          <w:rFonts w:ascii="Calibri" w:cs="Calibri" w:eastAsia="Calibri" w:hAnsi="Calibri"/>
          <w:color w:val="5C6678"/>
          <w:sz w:val="21"/>
          <w:szCs w:val="21"/>
        </w:rPr>
        <w:t xml:space="preserve">ASTM is the dominant protocol in the region; HL7 is for newer, higher-end instruments.</w:t>
      </w:r>
    </w:p>
    <w:p>
      <w:pPr>
        <w:pStyle w:val="ListParagraph"/>
        <w:numPr>
          <w:ilvl w:val="0"/>
          <w:numId w:val="3"/>
        </w:numPr>
        <w:spacing w:after="90"/>
      </w:pPr>
      <w:r>
        <w:rPr>
          <w:rFonts w:ascii="Calibri" w:cs="Calibri" w:eastAsia="Calibri" w:hAnsi="Calibri"/>
          <w:color w:val="5C6678"/>
          <w:sz w:val="21"/>
          <w:szCs w:val="21"/>
        </w:rPr>
        <w:t xml:space="preserve">Find your COM port in Device Manager — don't guess.</w:t>
      </w:r>
    </w:p>
    <w:p>
      <w:pPr>
        <w:pStyle w:val="ListParagraph"/>
        <w:numPr>
          <w:ilvl w:val="0"/>
          <w:numId w:val="3"/>
        </w:numPr>
        <w:spacing w:after="90"/>
      </w:pPr>
      <w:r>
        <w:rPr>
          <w:rFonts w:ascii="Calibri" w:cs="Calibri" w:eastAsia="Calibri" w:hAnsi="Calibri"/>
          <w:color w:val="5C6678"/>
          <w:sz w:val="21"/>
          <w:szCs w:val="21"/>
        </w:rPr>
        <w:t xml:space="preserve">Generic ASTM Driver covers any ASTM-compliant analyser not specifically listed.</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Two-column manufacturer/model reference table (ASTM vs. HL7), reusable as a downloadable resource.</w:t>
      </w:r>
    </w:p>
    <w:p>
      <w:pPr>
        <w:pStyle w:val="ListParagraph"/>
        <w:numPr>
          <w:ilvl w:val="0"/>
          <w:numId w:val="3"/>
        </w:numPr>
        <w:spacing w:after="90"/>
      </w:pPr>
      <w:r>
        <w:rPr>
          <w:rFonts w:ascii="Calibri" w:cs="Calibri" w:eastAsia="Calibri" w:hAnsi="Calibri"/>
          <w:color w:val="5C6678"/>
          <w:sz w:val="21"/>
          <w:szCs w:val="21"/>
        </w:rPr>
        <w:t xml:space="preserve">Device Manager screenshot with the COM port clearly circled or highlighted.</w:t>
      </w:r>
    </w:p>
    <w:p>
      <w:pPr>
        <w:pStyle w:val="ListParagraph"/>
        <w:numPr>
          <w:ilvl w:val="0"/>
          <w:numId w:val="3"/>
        </w:numPr>
        <w:spacing w:after="90"/>
      </w:pPr>
      <w:r>
        <w:rPr>
          <w:rFonts w:ascii="Calibri" w:cs="Calibri" w:eastAsia="Calibri" w:hAnsi="Calibri"/>
          <w:color w:val="5C6678"/>
          <w:sz w:val="21"/>
          <w:szCs w:val="21"/>
        </w:rPr>
        <w:t xml:space="preserve">Add-analyzer form shown filled in step by step as an annotated screenshot sequence.</w:t>
      </w:r>
    </w:p>
    <w:p>
      <w:r>
        <w:br w:type="page"/>
      </w:r>
    </w:p>
    <w:p>
      <w:pPr>
        <w:spacing w:after="60"/>
      </w:pPr>
      <w:r>
        <w:rPr>
          <w:rFonts w:ascii="Calibri" w:cs="Calibri" w:eastAsia="Calibri" w:hAnsi="Calibri"/>
          <w:b/>
          <w:bCs/>
          <w:color w:val="A8552E"/>
          <w:spacing w:val="14"/>
          <w:sz w:val="17"/>
          <w:szCs w:val="17"/>
        </w:rPr>
        <w:t xml:space="preserve">LESSON 9.3</w:t>
      </w:r>
    </w:p>
    <w:p>
      <w:pPr>
        <w:pStyle w:val="Heading1"/>
      </w:pPr>
      <w:r>
        <w:rPr>
          <w:rFonts w:ascii="Calibri" w:cs="Calibri" w:eastAsia="Calibri" w:hAnsi="Calibri"/>
        </w:rPr>
        <w:t xml:space="preserve">Trusting the Gateway: Matching and Offline Resilience</w:t>
      </w:r>
    </w:p>
    <w:p>
      <w:pPr>
        <w:spacing w:after="200"/>
      </w:pPr>
      <w:r>
        <w:rPr>
          <w:rFonts w:ascii="Calibri" w:cs="Calibri" w:eastAsia="Calibri" w:hAnsi="Calibri"/>
          <w:color w:val="5C6678"/>
          <w:sz w:val="23"/>
          <w:szCs w:val="23"/>
        </w:rPr>
        <w:t xml:space="preserve">The final lesson covers the two qualities that make the Gateway genuinely trustworthy in daily use: getting every result matched to the right patient, and never losing a result even when the internet briefly disappears.</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covers the Sample Matching Engine's four-method priority order, what happens when no match is found, and the Gateway's offline storage and sync behaviour, including reading its status indicators. By the end, a learner should be able to explain why barcode scanning is the recommended matching method, resolve an unmatched result manually, and correctly interpret the Gateway's sync status at a glance.</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Automating result transfer only delivers its full safety benefit if every result reliably reaches the correct patient's record — a fast, automated connection that occasionally attaches a result to the wrong patient would be a worse outcome than the slower manual process it replaced. This lesson is about the specific mechanism that prevents that outcome, and about the equally important guarantee that a result is never simply lost during the ordinary, expected reality of an internet connection that isn't always perfectly reliable.</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The matching problem: an analyser's internal sample ID may not match LabOS's patient request number.</w:t>
      </w:r>
    </w:p>
    <w:p>
      <w:pPr>
        <w:pStyle w:val="ListParagraph"/>
        <w:numPr>
          <w:ilvl w:val="0"/>
          <w:numId w:val="3"/>
        </w:numPr>
        <w:spacing w:after="90"/>
      </w:pPr>
      <w:r>
        <w:rPr>
          <w:rFonts w:ascii="Calibri" w:cs="Calibri" w:eastAsia="Calibri" w:hAnsi="Calibri"/>
          <w:color w:val="5C6678"/>
          <w:sz w:val="21"/>
          <w:szCs w:val="21"/>
        </w:rPr>
        <w:t xml:space="preserve">The Sample Matching Engine's four-method priority order: barcode, sample ID, accession number, patient ID — trying each in sequence, stopping at the first match.</w:t>
      </w:r>
    </w:p>
    <w:p>
      <w:pPr>
        <w:pStyle w:val="ListParagraph"/>
        <w:numPr>
          <w:ilvl w:val="0"/>
          <w:numId w:val="3"/>
        </w:numPr>
        <w:spacing w:after="90"/>
      </w:pPr>
      <w:r>
        <w:rPr>
          <w:rFonts w:ascii="Calibri" w:cs="Calibri" w:eastAsia="Calibri" w:hAnsi="Calibri"/>
          <w:color w:val="5C6678"/>
          <w:sz w:val="21"/>
          <w:szCs w:val="21"/>
        </w:rPr>
        <w:t xml:space="preserve">The Pending queue for unmatched results, both on the Gateway Dashboard and in LabOS under Instrument Gateway → Sample Matching, and manual matching by a scientist.</w:t>
      </w:r>
    </w:p>
    <w:p>
      <w:pPr>
        <w:pStyle w:val="ListParagraph"/>
        <w:numPr>
          <w:ilvl w:val="0"/>
          <w:numId w:val="3"/>
        </w:numPr>
        <w:spacing w:after="90"/>
      </w:pPr>
      <w:r>
        <w:rPr>
          <w:rFonts w:ascii="Calibri" w:cs="Calibri" w:eastAsia="Calibri" w:hAnsi="Calibri"/>
          <w:color w:val="5C6678"/>
          <w:sz w:val="21"/>
          <w:szCs w:val="21"/>
        </w:rPr>
        <w:t xml:space="preserve">Local SQLite storage ensuring no result is lost during an internet outage.</w:t>
      </w:r>
    </w:p>
    <w:p>
      <w:pPr>
        <w:pStyle w:val="ListParagraph"/>
        <w:numPr>
          <w:ilvl w:val="0"/>
          <w:numId w:val="3"/>
        </w:numPr>
        <w:spacing w:after="90"/>
      </w:pPr>
      <w:r>
        <w:rPr>
          <w:rFonts w:ascii="Calibri" w:cs="Calibri" w:eastAsia="Calibri" w:hAnsi="Calibri"/>
          <w:color w:val="5C6678"/>
          <w:sz w:val="21"/>
          <w:szCs w:val="21"/>
        </w:rPr>
        <w:t xml:space="preserve">The fully local analyser-to-Gateway connection, independent of internet availability.</w:t>
      </w:r>
    </w:p>
    <w:p>
      <w:pPr>
        <w:pStyle w:val="ListParagraph"/>
        <w:numPr>
          <w:ilvl w:val="0"/>
          <w:numId w:val="3"/>
        </w:numPr>
        <w:spacing w:after="90"/>
      </w:pPr>
      <w:r>
        <w:rPr>
          <w:rFonts w:ascii="Calibri" w:cs="Calibri" w:eastAsia="Calibri" w:hAnsi="Calibri"/>
          <w:color w:val="5C6678"/>
          <w:sz w:val="21"/>
          <w:szCs w:val="21"/>
        </w:rPr>
        <w:t xml:space="preserve">Automatic sync every 30 seconds (configurable) plus manual Sync now.</w:t>
      </w:r>
    </w:p>
    <w:p>
      <w:pPr>
        <w:pStyle w:val="ListParagraph"/>
        <w:numPr>
          <w:ilvl w:val="0"/>
          <w:numId w:val="3"/>
        </w:numPr>
        <w:spacing w:after="90"/>
      </w:pPr>
      <w:r>
        <w:rPr>
          <w:rFonts w:ascii="Calibri" w:cs="Calibri" w:eastAsia="Calibri" w:hAnsi="Calibri"/>
          <w:color w:val="5C6678"/>
          <w:sz w:val="21"/>
          <w:szCs w:val="21"/>
        </w:rPr>
        <w:t xml:space="preserve">The three sync-status indicators: green (active), grey (not configured), amber (error) — and what each means for troubleshooting.</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Understanding why matching is a genuine problem to solve</w:t>
      </w:r>
    </w:p>
    <w:p>
      <w:pPr>
        <w:spacing w:after="160"/>
      </w:pPr>
      <w:r>
        <w:rPr>
          <w:rFonts w:ascii="Calibri" w:cs="Calibri" w:eastAsia="Calibri" w:hAnsi="Calibri"/>
          <w:color w:val="5C6678"/>
          <w:sz w:val="21"/>
          <w:szCs w:val="21"/>
        </w:rPr>
        <w:t xml:space="preserve">When an analyser sends a result, it identifies the sample using its own internal sample ID — a number that may have no inherent relationship to the corresponding patient request number inside LabOS. Without a deliberate bridging mechanism, there would be no reliable way to connect "sample #4471 on the analyser" to "Mrs. Adeyemi's potassium request in LabOS" automatically. The Sample Matching Engine exists specifically to solve this bridging problem.</w:t>
      </w:r>
    </w:p>
    <w:p>
      <w:pPr>
        <w:spacing w:after="100" w:before="220"/>
      </w:pPr>
      <w:r>
        <w:rPr>
          <w:rFonts w:ascii="Calibri" w:cs="Calibri" w:eastAsia="Calibri" w:hAnsi="Calibri"/>
          <w:b/>
          <w:bCs/>
          <w:color w:val="0E1F33"/>
          <w:sz w:val="20"/>
          <w:szCs w:val="20"/>
        </w:rPr>
        <w:t xml:space="preserve">Working through the four-method priority order</w:t>
      </w:r>
    </w:p>
    <w:p>
      <w:pPr>
        <w:spacing w:after="160"/>
      </w:pPr>
      <w:r>
        <w:rPr>
          <w:rFonts w:ascii="Calibri" w:cs="Calibri" w:eastAsia="Calibri" w:hAnsi="Calibri"/>
          <w:color w:val="5C6678"/>
          <w:sz w:val="21"/>
          <w:szCs w:val="21"/>
        </w:rPr>
        <w:t xml:space="preserve">The engine tries four matching methods in a specific sequence, stopping at the first one that succeeds. Barcode matching is tried first and is the most reliable: if the sample tube was barcoded and that barcode was scanned at collection — the same barcode-at-the-moment-of-draw practice emphasised in Module 3 — the Gateway matches directly and unambiguously by that barcode, which is why this is the explicitly recommended method. Sample ID matching is tried next, using the analyser's own internal sample sequence number, and works only if the laboratory's numbering scheme happens to be consistent with LabOS's own numbering. Accession number matching follows, using the order or accession number from the original test request, and works specifically on analysers that receive the worklist from LabOS in the first place — meaning a bi-directional interface. Patient ID matching is the last resort, using the patient's hospital number or ID, and is explicitly the least precise method, since a single patient may have multiple active requests, creating genuine ambiguity about which specific request a given result belongs to.</w:t>
      </w:r>
    </w:p>
    <w:p>
      <w:pPr>
        <w:spacing w:after="100" w:before="220"/>
      </w:pPr>
      <w:r>
        <w:rPr>
          <w:rFonts w:ascii="Calibri" w:cs="Calibri" w:eastAsia="Calibri" w:hAnsi="Calibri"/>
          <w:b/>
          <w:bCs/>
          <w:color w:val="0E1F33"/>
          <w:sz w:val="20"/>
          <w:szCs w:val="20"/>
        </w:rPr>
        <w:t xml:space="preserve">Handling a result that can't be matched automatically</w:t>
      </w:r>
    </w:p>
    <w:p>
      <w:pPr>
        <w:spacing w:after="160"/>
      </w:pPr>
      <w:r>
        <w:rPr>
          <w:rFonts w:ascii="Calibri" w:cs="Calibri" w:eastAsia="Calibri" w:hAnsi="Calibri"/>
          <w:color w:val="5C6678"/>
          <w:sz w:val="21"/>
          <w:szCs w:val="21"/>
        </w:rPr>
        <w:t xml:space="preserve">When none of the four methods succeeds, the result doesn't simply disappear — it's held in a visible Pending queue, accessible both on the Gateway Dashboard itself and in LabOS under Instrument Gateway → Sample Matching. A lab scientist can then resolve it manually, searching for the correct patient and explicitly linking the result to their request. This manual fallback ensures that even an imperfect automatic match never results in either a lost result or, worse, a result silently attached to the wrong patient — uncertainty is surfaced for a human to resolve, never guessed at automatically.</w:t>
      </w:r>
    </w:p>
    <w:p>
      <w:pPr>
        <w:spacing w:after="100" w:before="220"/>
      </w:pPr>
      <w:r>
        <w:rPr>
          <w:rFonts w:ascii="Calibri" w:cs="Calibri" w:eastAsia="Calibri" w:hAnsi="Calibri"/>
          <w:b/>
          <w:bCs/>
          <w:color w:val="0E1F33"/>
          <w:sz w:val="20"/>
          <w:szCs w:val="20"/>
        </w:rPr>
        <w:t xml:space="preserve">Trusting offline operation completely</w:t>
      </w:r>
    </w:p>
    <w:p>
      <w:pPr>
        <w:spacing w:after="160"/>
      </w:pPr>
      <w:r>
        <w:rPr>
          <w:rFonts w:ascii="Calibri" w:cs="Calibri" w:eastAsia="Calibri" w:hAnsi="Calibri"/>
          <w:color w:val="5C6678"/>
          <w:sz w:val="21"/>
          <w:szCs w:val="21"/>
        </w:rPr>
        <w:t xml:space="preserve">The Gateway stores every result it receives in a local SQLite database directly on the PC, which means results are genuinely never lost even if the internet connection drops partway through a shift — the analyser-to-Gateway connection itself is entirely local and was never dependent on internet access in the first place. This local-first design is what makes the Gateway resilient to exactly the kind of intermittent connectivity that's a real, ordinary part of operating in many parts of Nigeria and across Africa, rather than treating connectivity loss as an exceptional failure scenario.</w:t>
      </w:r>
    </w:p>
    <w:p>
      <w:pPr>
        <w:spacing w:after="100" w:before="220"/>
      </w:pPr>
      <w:r>
        <w:rPr>
          <w:rFonts w:ascii="Calibri" w:cs="Calibri" w:eastAsia="Calibri" w:hAnsi="Calibri"/>
          <w:b/>
          <w:bCs/>
          <w:color w:val="0E1F33"/>
          <w:sz w:val="20"/>
          <w:szCs w:val="20"/>
        </w:rPr>
        <w:t xml:space="preserve">Reading sync status and knowing when to act</w:t>
      </w:r>
    </w:p>
    <w:p>
      <w:pPr>
        <w:spacing w:after="160"/>
      </w:pPr>
      <w:r>
        <w:rPr>
          <w:rFonts w:ascii="Calibri" w:cs="Calibri" w:eastAsia="Calibri" w:hAnsi="Calibri"/>
          <w:color w:val="5C6678"/>
          <w:sz w:val="21"/>
          <w:szCs w:val="21"/>
        </w:rPr>
        <w:t xml:space="preserve">When internet connectivity is available, the Gateway automatically syncs any pending results to LabOS every 30 seconds by default, a configurable interval, and a Sync now button on the dashboard allows triggering an immediate sync on demand rather than waiting for the next automatic cycle. The bottom-left status area shows one of three states at a glance: a green dot for Sync active, meaning the Gateway is connected to LabOS and syncing normally; a grey dot for Not syncing, meaning no LabOS URL has been configured in Settings at all; and an amber dot for Sync error, meaning the Gateway attempted to connect but failed, warranting a check of both the internet connection and the configured LabOS URL. The Dashboard's pending count complements these indicators directly — during normal working hours with internet available, this count should sit at or close to zero, and a persistently non-zero pending count, even alongside a green sync-active indicator, is worth investigating rather than dismissing.</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Always scan barcodes at sample collection, since this single habit makes Sample Matching fully automatic and removes the need for manual intervention almost entirely.</w:t>
      </w:r>
    </w:p>
    <w:p>
      <w:pPr>
        <w:pStyle w:val="ListParagraph"/>
        <w:numPr>
          <w:ilvl w:val="0"/>
          <w:numId w:val="3"/>
        </w:numPr>
        <w:spacing w:after="90"/>
      </w:pPr>
      <w:r>
        <w:rPr>
          <w:rFonts w:ascii="Calibri" w:cs="Calibri" w:eastAsia="Calibri" w:hAnsi="Calibri"/>
          <w:color w:val="5C6678"/>
          <w:sz w:val="21"/>
          <w:szCs w:val="21"/>
        </w:rPr>
        <w:t xml:space="preserve">Check the Pending → Sample Matching queue regularly, resolving manual matches promptly rather than letting them accumulate.</w:t>
      </w:r>
    </w:p>
    <w:p>
      <w:pPr>
        <w:pStyle w:val="ListParagraph"/>
        <w:numPr>
          <w:ilvl w:val="0"/>
          <w:numId w:val="3"/>
        </w:numPr>
        <w:spacing w:after="90"/>
      </w:pPr>
      <w:r>
        <w:rPr>
          <w:rFonts w:ascii="Calibri" w:cs="Calibri" w:eastAsia="Calibri" w:hAnsi="Calibri"/>
          <w:color w:val="5C6678"/>
          <w:sz w:val="21"/>
          <w:szCs w:val="21"/>
        </w:rPr>
        <w:t xml:space="preserve">Glance at the sync status dot and pending count as a routine part of starting or ending a shift, not only when a problem is already suspected.</w:t>
      </w:r>
    </w:p>
    <w:p>
      <w:pPr>
        <w:pStyle w:val="ListParagraph"/>
        <w:numPr>
          <w:ilvl w:val="0"/>
          <w:numId w:val="3"/>
        </w:numPr>
        <w:spacing w:after="90"/>
      </w:pPr>
      <w:r>
        <w:rPr>
          <w:rFonts w:ascii="Calibri" w:cs="Calibri" w:eastAsia="Calibri" w:hAnsi="Calibri"/>
          <w:color w:val="5C6678"/>
          <w:sz w:val="21"/>
          <w:szCs w:val="21"/>
        </w:rPr>
        <w:t xml:space="preserve">If the sync status shows amber, check both internet connectivity and the configured LabOS URL specifically, since either one alone can cause this state.</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Relying on Patient ID matching by default because barcode scanning wasn't done at collection, introducing avoidable ambiguity for patients with multiple active requests.</w:t>
      </w:r>
    </w:p>
    <w:p>
      <w:pPr>
        <w:pStyle w:val="ListParagraph"/>
        <w:numPr>
          <w:ilvl w:val="0"/>
          <w:numId w:val="3"/>
        </w:numPr>
        <w:spacing w:after="90"/>
      </w:pPr>
      <w:r>
        <w:rPr>
          <w:rFonts w:ascii="Calibri" w:cs="Calibri" w:eastAsia="Calibri" w:hAnsi="Calibri"/>
          <w:color w:val="5C6678"/>
          <w:sz w:val="21"/>
          <w:szCs w:val="21"/>
        </w:rPr>
        <w:t xml:space="preserve">Assuming a result is lost when the internet briefly drops, rather than trusting the local SQLite storage and waiting for sync to resume.</w:t>
      </w:r>
    </w:p>
    <w:p>
      <w:pPr>
        <w:pStyle w:val="ListParagraph"/>
        <w:numPr>
          <w:ilvl w:val="0"/>
          <w:numId w:val="3"/>
        </w:numPr>
        <w:spacing w:after="90"/>
      </w:pPr>
      <w:r>
        <w:rPr>
          <w:rFonts w:ascii="Calibri" w:cs="Calibri" w:eastAsia="Calibri" w:hAnsi="Calibri"/>
          <w:color w:val="5C6678"/>
          <w:sz w:val="21"/>
          <w:szCs w:val="21"/>
        </w:rPr>
        <w:t xml:space="preserve">Ignoring a grey "Not syncing" status as if it were equivalent to green, when it specifically indicates a missing LabOS URL configuration that needs to be fixed.</w:t>
      </w:r>
    </w:p>
    <w:p>
      <w:pPr>
        <w:pStyle w:val="ListParagraph"/>
        <w:numPr>
          <w:ilvl w:val="0"/>
          <w:numId w:val="3"/>
        </w:numPr>
        <w:spacing w:after="90"/>
      </w:pPr>
      <w:r>
        <w:rPr>
          <w:rFonts w:ascii="Calibri" w:cs="Calibri" w:eastAsia="Calibri" w:hAnsi="Calibri"/>
          <w:color w:val="5C6678"/>
          <w:sz w:val="21"/>
          <w:szCs w:val="21"/>
        </w:rPr>
        <w:t xml:space="preserve">Letting the Pending Sample Matching queue grow without regular review, delaying results from reaching patient records.</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9.3 — TRACE A RESULT THROUGH MATCHING AND SYNC</w:t>
            </w:r>
          </w:p>
          <w:p>
            <w:r>
              <w:rPr>
                <w:rFonts w:ascii="Calibri" w:cs="Calibri" w:eastAsia="Calibri" w:hAnsi="Calibri"/>
                <w:i/>
                <w:iCs/>
                <w:color w:val="0E1F33"/>
                <w:sz w:val="21"/>
                <w:szCs w:val="21"/>
              </w:rPr>
              <w:t xml:space="preserve">Write out the four sample-matching methods in their priority order, and for each one, describe a specific scenario where that method would be the one that succeeds. Explain in two to three sentences why barcode matching is explicitly recommended over the other three methods. Then, for each of the three sync-status indicators (green, grey, amber), write what it means and what specific action, if any, an administrator should take in response. Finally, explain what happens to a result received by the Gateway during a two-hour internet outage, from the moment the analyser sends it to the moment it eventually appears in LabOS.</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Why is barcode matching tried first in the Sample Matching Engine's priority order, rather than patient ID?</w:t>
      </w:r>
    </w:p>
    <w:p>
      <w:pPr>
        <w:spacing w:after="60"/>
      </w:pPr>
      <w:r>
        <w:rPr>
          <w:rFonts w:ascii="Calibri" w:cs="Calibri" w:eastAsia="Calibri" w:hAnsi="Calibri"/>
          <w:color w:val="5C6678"/>
          <w:sz w:val="20"/>
          <w:szCs w:val="20"/>
        </w:rPr>
        <w:t xml:space="preserve">Because barcode matching is the most reliable and unambiguous method — a scanned barcode links directly and specifically to one sample — while patient ID is explicitly the least precise method, since a single patient may have multiple active requests, creating genuine ambiguity about which one a result belongs to.</w:t>
      </w:r>
    </w:p>
    <w:p>
      <w:pPr>
        <w:spacing w:after="50" w:before="140"/>
      </w:pPr>
      <w:r>
        <w:rPr>
          <w:rFonts w:ascii="Calibri" w:cs="Calibri" w:eastAsia="Calibri" w:hAnsi="Calibri"/>
          <w:b/>
          <w:bCs/>
          <w:color w:val="0E1F33"/>
          <w:sz w:val="21"/>
          <w:szCs w:val="21"/>
        </w:rPr>
        <w:t xml:space="preserve">2. The Gateway's sync status shows a grey dot. What does this specifically indicate, and what should an administrator do?</w:t>
      </w:r>
    </w:p>
    <w:p>
      <w:pPr>
        <w:spacing w:after="60"/>
      </w:pPr>
      <w:r>
        <w:rPr>
          <w:rFonts w:ascii="Calibri" w:cs="Calibri" w:eastAsia="Calibri" w:hAnsi="Calibri"/>
          <w:color w:val="5C6678"/>
          <w:sz w:val="20"/>
          <w:szCs w:val="20"/>
        </w:rPr>
        <w:t xml:space="preserve">A grey dot means "Not syncing" specifically because no LabOS URL has been configured in Settings at all — the administrator should open Settings and complete the LabOS API URL, API key, and Laboratory ID configuration, distinct from an amber dot, which would indicate a configured but currently failing connection.</w:t>
      </w:r>
    </w:p>
    <w:p>
      <w:pPr>
        <w:spacing w:after="50" w:before="140"/>
      </w:pPr>
      <w:r>
        <w:rPr>
          <w:rFonts w:ascii="Calibri" w:cs="Calibri" w:eastAsia="Calibri" w:hAnsi="Calibri"/>
          <w:b/>
          <w:bCs/>
          <w:color w:val="0E1F33"/>
          <w:sz w:val="21"/>
          <w:szCs w:val="21"/>
        </w:rPr>
        <w:t xml:space="preserve">3. The internet drops for two hours during a busy shift while an analyser continues producing results. What happens to those results?</w:t>
      </w:r>
    </w:p>
    <w:p>
      <w:pPr>
        <w:spacing w:after="60"/>
      </w:pPr>
      <w:r>
        <w:rPr>
          <w:rFonts w:ascii="Calibri" w:cs="Calibri" w:eastAsia="Calibri" w:hAnsi="Calibri"/>
          <w:color w:val="5C6678"/>
          <w:sz w:val="20"/>
          <w:szCs w:val="20"/>
        </w:rPr>
        <w:t xml:space="preserve">Nothing is lost — the analyser-to-Gateway connection is entirely local and unaffected by the internet outage, and the Gateway stores every received result in its local SQLite database; once internet connectivity returns, the Gateway automatically syncs the queued pending results to LabOS, or an administrator can trigger this immediately using Sync now.</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9.3</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"Trusting the Gateway: Matching and Offline Resilience" — CLA Module 9, Lesson 3</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explain and apply the sample-matching priority order and correctly interpret the Gateway's offline behaviour and sync status.</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9–11 minutes (final video in this module, closing the Gateway foundation before Module 10)</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Screen recording with presenter voiceover, including a simulated offline/online transition</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8"/>
        </w:numPr>
        <w:spacing w:after="90"/>
      </w:pPr>
      <w:r>
        <w:rPr>
          <w:rFonts w:ascii="Calibri" w:cs="Calibri" w:eastAsia="Calibri" w:hAnsi="Calibri"/>
          <w:color w:val="5C6678"/>
          <w:sz w:val="21"/>
          <w:szCs w:val="21"/>
        </w:rPr>
        <w:t xml:space="preserve">Cold open (0:00–0:40) — "An automated result is only as good as knowing it reached the right patient — here's how the Gateway makes sure."</w:t>
      </w:r>
    </w:p>
    <w:p>
      <w:pPr>
        <w:pStyle w:val="ListParagraph"/>
        <w:numPr>
          <w:ilvl w:val="0"/>
          <w:numId w:val="8"/>
        </w:numPr>
        <w:spacing w:after="90"/>
      </w:pPr>
      <w:r>
        <w:rPr>
          <w:rFonts w:ascii="Calibri" w:cs="Calibri" w:eastAsia="Calibri" w:hAnsi="Calibri"/>
          <w:color w:val="5C6678"/>
          <w:sz w:val="21"/>
          <w:szCs w:val="21"/>
        </w:rPr>
        <w:t xml:space="preserve">The four-method matching order, walked through with a concrete example for each (0:40–3:30).</w:t>
      </w:r>
    </w:p>
    <w:p>
      <w:pPr>
        <w:pStyle w:val="ListParagraph"/>
        <w:numPr>
          <w:ilvl w:val="0"/>
          <w:numId w:val="8"/>
        </w:numPr>
        <w:spacing w:after="90"/>
      </w:pPr>
      <w:r>
        <w:rPr>
          <w:rFonts w:ascii="Calibri" w:cs="Calibri" w:eastAsia="Calibri" w:hAnsi="Calibri"/>
          <w:color w:val="5C6678"/>
          <w:sz w:val="21"/>
          <w:szCs w:val="21"/>
        </w:rPr>
        <w:t xml:space="preserve">Unmatched results: the Pending queue and manual resolution, live demo (3:30–4:45).</w:t>
      </w:r>
    </w:p>
    <w:p>
      <w:pPr>
        <w:pStyle w:val="ListParagraph"/>
        <w:numPr>
          <w:ilvl w:val="0"/>
          <w:numId w:val="8"/>
        </w:numPr>
        <w:spacing w:after="90"/>
      </w:pPr>
      <w:r>
        <w:rPr>
          <w:rFonts w:ascii="Calibri" w:cs="Calibri" w:eastAsia="Calibri" w:hAnsi="Calibri"/>
          <w:color w:val="5C6678"/>
          <w:sz w:val="21"/>
          <w:szCs w:val="21"/>
        </w:rPr>
        <w:t xml:space="preserve">Local SQLite storage and why offline operation is safe, explained clearly (4:45–6:00).</w:t>
      </w:r>
    </w:p>
    <w:p>
      <w:pPr>
        <w:pStyle w:val="ListParagraph"/>
        <w:numPr>
          <w:ilvl w:val="0"/>
          <w:numId w:val="8"/>
        </w:numPr>
        <w:spacing w:after="90"/>
      </w:pPr>
      <w:r>
        <w:rPr>
          <w:rFonts w:ascii="Calibri" w:cs="Calibri" w:eastAsia="Calibri" w:hAnsi="Calibri"/>
          <w:color w:val="5C6678"/>
          <w:sz w:val="21"/>
          <w:szCs w:val="21"/>
        </w:rPr>
        <w:t xml:space="preserve">Sync status indicators: green, grey, amber, each demonstrated or simulated (6:00–7:45).</w:t>
      </w:r>
    </w:p>
    <w:p>
      <w:pPr>
        <w:pStyle w:val="ListParagraph"/>
        <w:numPr>
          <w:ilvl w:val="0"/>
          <w:numId w:val="8"/>
        </w:numPr>
        <w:spacing w:after="90"/>
      </w:pPr>
      <w:r>
        <w:rPr>
          <w:rFonts w:ascii="Calibri" w:cs="Calibri" w:eastAsia="Calibri" w:hAnsi="Calibri"/>
          <w:color w:val="5C6678"/>
          <w:sz w:val="21"/>
          <w:szCs w:val="21"/>
        </w:rPr>
        <w:t xml:space="preserve">Pending count as a health signal, briefly (7:45–8:30).</w:t>
      </w:r>
    </w:p>
    <w:p>
      <w:pPr>
        <w:pStyle w:val="ListParagraph"/>
        <w:numPr>
          <w:ilvl w:val="0"/>
          <w:numId w:val="8"/>
        </w:numPr>
        <w:spacing w:after="90"/>
      </w:pPr>
      <w:r>
        <w:rPr>
          <w:rFonts w:ascii="Calibri" w:cs="Calibri" w:eastAsia="Calibri" w:hAnsi="Calibri"/>
          <w:color w:val="5C6678"/>
          <w:sz w:val="21"/>
          <w:szCs w:val="21"/>
        </w:rPr>
        <w:t xml:space="preserve">Close + Module 9 wrap-up, transition to Module 10 (8:30–end).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Open with the core tension directly: "Automation is only safe if it's also accurate — this lesson is about the accuracy half of that equation."</w:t>
      </w:r>
    </w:p>
    <w:p>
      <w:pPr>
        <w:pStyle w:val="ListParagraph"/>
        <w:numPr>
          <w:ilvl w:val="0"/>
          <w:numId w:val="3"/>
        </w:numPr>
        <w:spacing w:after="90"/>
      </w:pPr>
      <w:r>
        <w:rPr>
          <w:rFonts w:ascii="Calibri" w:cs="Calibri" w:eastAsia="Calibri" w:hAnsi="Calibri"/>
          <w:color w:val="5C6678"/>
          <w:sz w:val="21"/>
          <w:szCs w:val="21"/>
        </w:rPr>
        <w:t xml:space="preserve">Walk the four matching methods with concrete framing: "Barcode first, because it's basically unambiguous. Patient ID last, because one patient might have three different requests open right now."</w:t>
      </w:r>
    </w:p>
    <w:p>
      <w:pPr>
        <w:pStyle w:val="ListParagraph"/>
        <w:numPr>
          <w:ilvl w:val="0"/>
          <w:numId w:val="3"/>
        </w:numPr>
        <w:spacing w:after="90"/>
      </w:pPr>
      <w:r>
        <w:rPr>
          <w:rFonts w:ascii="Calibri" w:cs="Calibri" w:eastAsia="Calibri" w:hAnsi="Calibri"/>
          <w:color w:val="5C6678"/>
          <w:sz w:val="21"/>
          <w:szCs w:val="21"/>
        </w:rPr>
        <w:t xml:space="preserve">At local storage, reassure directly: "If your internet drops right now, mid-shift — nothing is lost. This is exactly why."</w:t>
      </w:r>
    </w:p>
    <w:p>
      <w:pPr>
        <w:pStyle w:val="ListParagraph"/>
        <w:numPr>
          <w:ilvl w:val="0"/>
          <w:numId w:val="3"/>
        </w:numPr>
        <w:spacing w:after="90"/>
      </w:pPr>
      <w:r>
        <w:rPr>
          <w:rFonts w:ascii="Calibri" w:cs="Calibri" w:eastAsia="Calibri" w:hAnsi="Calibri"/>
          <w:color w:val="5C6678"/>
          <w:sz w:val="21"/>
          <w:szCs w:val="21"/>
        </w:rPr>
        <w:t xml:space="preserve">At the sync status indicators, use a simple, memorable framing: "Green means go, grey means 'you haven't told me where to sync to,' amber means 'I tried and couldn't.'"</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9"/>
        </w:numPr>
        <w:spacing w:after="90"/>
      </w:pPr>
      <w:r>
        <w:rPr>
          <w:rFonts w:ascii="Calibri" w:cs="Calibri" w:eastAsia="Calibri" w:hAnsi="Calibri"/>
          <w:color w:val="5C6678"/>
          <w:sz w:val="21"/>
          <w:szCs w:val="21"/>
        </w:rPr>
        <w:t xml:space="preserve">Cut to a four-step matching-order diagram, illustrating each method with a simple example.</w:t>
      </w:r>
    </w:p>
    <w:p>
      <w:pPr>
        <w:pStyle w:val="ListParagraph"/>
        <w:numPr>
          <w:ilvl w:val="0"/>
          <w:numId w:val="9"/>
        </w:numPr>
        <w:spacing w:after="90"/>
      </w:pPr>
      <w:r>
        <w:rPr>
          <w:rFonts w:ascii="Calibri" w:cs="Calibri" w:eastAsia="Calibri" w:hAnsi="Calibri"/>
          <w:color w:val="5C6678"/>
          <w:sz w:val="21"/>
          <w:szCs w:val="21"/>
        </w:rPr>
        <w:t xml:space="preserve">Show the Pending → Sample Matching queue in LabOS, demonstrate manually linking an unmatched result to a patient.</w:t>
      </w:r>
    </w:p>
    <w:p>
      <w:pPr>
        <w:pStyle w:val="ListParagraph"/>
        <w:numPr>
          <w:ilvl w:val="0"/>
          <w:numId w:val="9"/>
        </w:numPr>
        <w:spacing w:after="90"/>
      </w:pPr>
      <w:r>
        <w:rPr>
          <w:rFonts w:ascii="Calibri" w:cs="Calibri" w:eastAsia="Calibri" w:hAnsi="Calibri"/>
          <w:color w:val="5C6678"/>
          <w:sz w:val="21"/>
          <w:szCs w:val="21"/>
        </w:rPr>
        <w:t xml:space="preserve">Cut to a simple diagram of the local SQLite database, showing results queuing during a simulated offline period.</w:t>
      </w:r>
    </w:p>
    <w:p>
      <w:pPr>
        <w:pStyle w:val="ListParagraph"/>
        <w:numPr>
          <w:ilvl w:val="0"/>
          <w:numId w:val="9"/>
        </w:numPr>
        <w:spacing w:after="90"/>
      </w:pPr>
      <w:r>
        <w:rPr>
          <w:rFonts w:ascii="Calibri" w:cs="Calibri" w:eastAsia="Calibri" w:hAnsi="Calibri"/>
          <w:color w:val="5C6678"/>
          <w:sz w:val="21"/>
          <w:szCs w:val="21"/>
        </w:rPr>
        <w:t xml:space="preserve">Show the Gateway dashboard's sync status area, cycling through (or simulating) green, grey, and amber states.</w:t>
      </w:r>
    </w:p>
    <w:p>
      <w:pPr>
        <w:pStyle w:val="ListParagraph"/>
        <w:numPr>
          <w:ilvl w:val="0"/>
          <w:numId w:val="9"/>
        </w:numPr>
        <w:spacing w:after="90"/>
      </w:pPr>
      <w:r>
        <w:rPr>
          <w:rFonts w:ascii="Calibri" w:cs="Calibri" w:eastAsia="Calibri" w:hAnsi="Calibri"/>
          <w:color w:val="5C6678"/>
          <w:sz w:val="21"/>
          <w:szCs w:val="21"/>
        </w:rPr>
        <w:t xml:space="preserve">Show the pending count, and demonstrate clicking Sync now to clear it.</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Matching priority: barcode → sample ID → accession number → patient ID — most reliable first.</w:t>
      </w:r>
    </w:p>
    <w:p>
      <w:pPr>
        <w:pStyle w:val="ListParagraph"/>
        <w:numPr>
          <w:ilvl w:val="0"/>
          <w:numId w:val="3"/>
        </w:numPr>
        <w:spacing w:after="90"/>
      </w:pPr>
      <w:r>
        <w:rPr>
          <w:rFonts w:ascii="Calibri" w:cs="Calibri" w:eastAsia="Calibri" w:hAnsi="Calibri"/>
          <w:color w:val="5C6678"/>
          <w:sz w:val="21"/>
          <w:szCs w:val="21"/>
        </w:rPr>
        <w:t xml:space="preserve">Unmatched results go to a visible Pending queue for manual resolution, never silently guessed.</w:t>
      </w:r>
    </w:p>
    <w:p>
      <w:pPr>
        <w:pStyle w:val="ListParagraph"/>
        <w:numPr>
          <w:ilvl w:val="0"/>
          <w:numId w:val="3"/>
        </w:numPr>
        <w:spacing w:after="90"/>
      </w:pPr>
      <w:r>
        <w:rPr>
          <w:rFonts w:ascii="Calibri" w:cs="Calibri" w:eastAsia="Calibri" w:hAnsi="Calibri"/>
          <w:color w:val="5C6678"/>
          <w:sz w:val="21"/>
          <w:szCs w:val="21"/>
        </w:rPr>
        <w:t xml:space="preserve">Local SQLite storage means an internet outage never loses a result.</w:t>
      </w:r>
    </w:p>
    <w:p>
      <w:pPr>
        <w:pStyle w:val="ListParagraph"/>
        <w:numPr>
          <w:ilvl w:val="0"/>
          <w:numId w:val="3"/>
        </w:numPr>
        <w:spacing w:after="90"/>
      </w:pPr>
      <w:r>
        <w:rPr>
          <w:rFonts w:ascii="Calibri" w:cs="Calibri" w:eastAsia="Calibri" w:hAnsi="Calibri"/>
          <w:color w:val="5C6678"/>
          <w:sz w:val="21"/>
          <w:szCs w:val="21"/>
        </w:rPr>
        <w:t xml:space="preserve">Green = syncing normally, grey = no LabOS URL configured, amber = connection error — act on grey and amber.</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Four-method matching-priority flowchart, each step illustrated with a small concrete example.</w:t>
      </w:r>
    </w:p>
    <w:p>
      <w:pPr>
        <w:pStyle w:val="ListParagraph"/>
        <w:numPr>
          <w:ilvl w:val="0"/>
          <w:numId w:val="3"/>
        </w:numPr>
        <w:spacing w:after="90"/>
      </w:pPr>
      <w:r>
        <w:rPr>
          <w:rFonts w:ascii="Calibri" w:cs="Calibri" w:eastAsia="Calibri" w:hAnsi="Calibri"/>
          <w:color w:val="5C6678"/>
          <w:sz w:val="21"/>
          <w:szCs w:val="21"/>
        </w:rPr>
        <w:t xml:space="preserve">Simple "local database during outage" diagram showing results accumulating locally, then flowing to LabOS once connectivity returns.</w:t>
      </w:r>
    </w:p>
    <w:p>
      <w:pPr>
        <w:pStyle w:val="ListParagraph"/>
        <w:numPr>
          <w:ilvl w:val="0"/>
          <w:numId w:val="3"/>
        </w:numPr>
        <w:spacing w:after="90"/>
      </w:pPr>
      <w:r>
        <w:rPr>
          <w:rFonts w:ascii="Calibri" w:cs="Calibri" w:eastAsia="Calibri" w:hAnsi="Calibri"/>
          <w:color w:val="5C6678"/>
          <w:sz w:val="21"/>
          <w:szCs w:val="21"/>
        </w:rPr>
        <w:t xml:space="preserve">Three-state sync-status reference card (green/grey/amber) with the recommended action for each, reusable as a downloadable resource.</w:t>
      </w:r>
    </w:p>
    <w:p>
      <w:r>
        <w:br w:type="page"/>
      </w:r>
    </w:p>
    <w:p>
      <w:pPr>
        <w:spacing w:after="60"/>
      </w:pPr>
      <w:r>
        <w:rPr>
          <w:rFonts w:ascii="Calibri" w:cs="Calibri" w:eastAsia="Calibri" w:hAnsi="Calibri"/>
          <w:b/>
          <w:bCs/>
          <w:color w:val="A8552E"/>
          <w:spacing w:val="14"/>
          <w:sz w:val="17"/>
          <w:szCs w:val="17"/>
        </w:rPr>
        <w:t xml:space="preserve">MODULE 9</w:t>
      </w:r>
    </w:p>
    <w:p>
      <w:pPr>
        <w:pStyle w:val="Heading1"/>
      </w:pPr>
      <w:r>
        <w:rPr>
          <w:rFonts w:ascii="Calibri" w:cs="Calibri" w:eastAsia="Calibri" w:hAnsi="Calibri"/>
        </w:rPr>
        <w:t xml:space="preserve">Module Assessment Criteria</w:t>
      </w:r>
    </w:p>
    <w:p>
      <w:pPr>
        <w:spacing w:after="200"/>
      </w:pPr>
      <w:r>
        <w:rPr>
          <w:rFonts w:ascii="Calibri" w:cs="Calibri" w:eastAsia="Calibri" w:hAnsi="Calibri"/>
          <w:color w:val="5C6678"/>
          <w:sz w:val="23"/>
          <w:szCs w:val="23"/>
        </w:rPr>
        <w:t xml:space="preserve">Module 9 assessment confirms a learner can install and configure the Instrument Gateway independently, connect a real analyser correctly, and trust and troubleshoot its matching and sync behaviour — genuine hands-on IT competency, not just conceptual familiarity.</w:t>
      </w:r>
    </w:p>
    <w:p>
      <w:pPr>
        <w:spacing w:after="80"/>
      </w:pPr>
    </w:p>
    <w:p>
      <w:pPr>
        <w:pStyle w:val="Heading2"/>
      </w:pPr>
      <w:r>
        <w:rPr>
          <w:rFonts w:ascii="Calibri" w:cs="Calibri" w:eastAsia="Calibri" w:hAnsi="Calibri"/>
        </w:rPr>
        <w:t xml:space="preserve">Assessment Components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7020"/>
      </w:tblGrid>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KNOWLEDGE CHECKS</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9 questions total (3 per lesson) — minimum 85% correct to pass</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PRACTICAL TASK</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Complete Exercise 9.3 (matching and sync troubleshooting) unaided, building on the installation and analyser-connection work from Exercises 9.1 and 9.2</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REFLECTIVE COMPONENT</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Written response: "Explain how the Sample Matching Engine's design — trying barcode first and falling back only when necessary — reflects the same philosophy as another safeguard covered earlier in this program."</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PASSING THRESHOLD</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85%+ on knowledge checks, full completion of the practical task, and a reflective response demonstrating genuine conceptual understanding (instructor- or rubric-assessed for self-paced delivery)</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RETAKE POLICY</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Unlimited retakes on knowledge checks; practical task may be reattempted after instructor or automated feedback</w:t>
            </w:r>
          </w:p>
        </w:tc>
      </w:tr>
    </w:tbl>
    <w:p>
      <w:pPr>
        <w:spacing w:after="200"/>
      </w:pPr>
    </w:p>
    <w:p>
      <w:pPr>
        <w:pStyle w:val="Heading2"/>
      </w:pPr>
      <w:r>
        <w:rPr>
          <w:rFonts w:ascii="Calibri" w:cs="Calibri" w:eastAsia="Calibri" w:hAnsi="Calibri"/>
        </w:rPr>
        <w:t xml:space="preserve">What This Module Feeds Into</w:t>
      </w:r>
    </w:p>
    <w:p>
      <w:pPr>
        <w:spacing w:after="160"/>
      </w:pPr>
      <w:r>
        <w:rPr>
          <w:rFonts w:ascii="Calibri" w:cs="Calibri" w:eastAsia="Calibri" w:hAnsi="Calibri"/>
          <w:color w:val="5C6678"/>
          <w:sz w:val="21"/>
          <w:szCs w:val="21"/>
        </w:rPr>
        <w:t xml:space="preserve">Module 9 completes the program's coverage of how results actually enter LabOS — manually in Module 3, and now automatically via the Gateway. Module 10 (Advanced Integrations) returns to the broader HL7 and analyser-interface content briefly introduced in Module 6, covering bi-directional worklist interfaces and additional analyser models beyond what this module's Gateway-specific focus covered. Module 11 (Compliance &amp; Security) will reference this module's local-storage and offline-resilience design as part of the program's broader data-protection content. A learner who can describe the Gateway's architecture but has never actually completed a real installation and analyser connection has not yet reached this module's intended competency — the hands-on, practical nature of this content is deliberate and should not be skipped in favour of reading alone.</w:t>
      </w:r>
    </w:p>
    <w:sectPr>
      <w:headerReference w:type="default" r:id="rId7"/>
      <w:headerReference w:type="first" r:id="rId8"/>
      <w:footerReference w:type="default" r:id="rId9"/>
      <w:footerReference w:type="first" r:id="rId10"/>
      <w:pgSz w:w="12240" w:h="15840" w:orient="portrait"/>
      <w:pgMar w:top="1440" w:right="1260" w:bottom="1440" w:left="12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2" w:sz="4" w:space="6"/>
      </w:pBdr>
      <w:tabs>
        <w:tab w:val="right" w:pos="9026"/>
      </w:tabs>
    </w:pPr>
    <w:r>
      <w:rPr>
        <w:rFonts w:ascii="Calibri" w:cs="Calibri" w:eastAsia="Calibri" w:hAnsi="Calibri"/>
        <w:color w:val="8C95A6"/>
        <w:sz w:val="15"/>
        <w:szCs w:val="15"/>
      </w:rPr>
      <w:t xml:space="preserve">AgoroX Academy — CLA Module 9: Instrument Gateway</w:t>
    </w:r>
    <w:r>
      <w:rPr>
        <w:rFonts w:ascii="Calibri" w:cs="Calibri" w:eastAsia="Calibri" w:hAnsi="Calibri"/>
        <w:color w:val="8C95A6"/>
        <w:sz w:val="15"/>
        <w:szCs w:val="15"/>
      </w:rPr>
      <w:t xml:space="preserve">	Page </w:t>
    </w:r>
    <w:r>
      <w:rPr>
        <w:rFonts w:ascii="Calibri" w:cs="Calibri" w:eastAsia="Calibri" w:hAnsi="Calibri"/>
        <w:color w:val="8C95A6"/>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A8552E"/>
      </w:r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abstractNum w:abstractNumId="8" w15:restartNumberingAfterBreak="0">
    <w:multiLevelType w:val="hybridMultilevel"/>
    <w:lvl w:ilvl="0" w15:tentative="1">
      <w:start w:val="1"/>
      <w:numFmt w:val="decimal"/>
      <w:lvlText w:val="%1."/>
      <w:lvlJc w:val="left"/>
      <w:pPr>
        <w:ind w:left="420" w:hanging="260"/>
      </w:pPr>
    </w:lvl>
  </w:abstractNum>
  <w:abstractNum w:abstractNumId="9"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C667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0E1F33"/>
      <w:sz w:val="34"/>
      <w:szCs w:val="34"/>
    </w:rPr>
  </w:style>
  <w:style w:type="paragraph" w:styleId="Heading2">
    <w:name w:val="Heading 2"/>
    <w:basedOn w:val="Normal"/>
    <w:next w:val="Normal"/>
    <w:qFormat/>
    <w:pPr>
      <w:pBdr>
        <w:bottom w:val="single" w:color="D8DCE2" w:sz="4" w:space="6"/>
      </w:pBdr>
      <w:spacing w:after="130" w:before="300"/>
      <w:outlineLvl w:val="1"/>
    </w:pPr>
    <w:rPr>
      <w:rFonts w:ascii="Calibri" w:cs="Calibri" w:eastAsia="Calibri" w:hAnsi="Calibri"/>
      <w:b/>
      <w:bCs/>
      <w:color w:val="0E1F33"/>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0E1F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1ed13b30616d36706c0fb81e1122c8695ac1aa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2026-06-21T19:20:36.192Z</dcterms:created>
  <dcterms:modified xsi:type="dcterms:W3CDTF">2026-06-21T19:20:36.193Z</dcterms:modified>
</cp:coreProperties>
</file>

<file path=docProps/custom.xml><?xml version="1.0" encoding="utf-8"?>
<Properties xmlns="http://schemas.openxmlformats.org/officeDocument/2006/custom-properties" xmlns:vt="http://schemas.openxmlformats.org/officeDocument/2006/docPropsVTypes"/>
</file>