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1 — Getting Started with LabOS</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1 OF 11 · LABOS ESSENTIALS (LEVEL 1)</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1 is the first module of the Certified LabOS Administrator (CLA) program. It is built from eight Help &amp; Documentation articles in the LabOS "Getting Started" category — but documentation tells you what a button does. This module teaches you why the system is built the way it is, what happens if you skip a step, and how the choices a new administrator makes in their first week shape how the whole laboratory runs for years afterward.</w:t>
      </w:r>
    </w:p>
    <w:p>
      <w:pPr>
        <w:spacing w:after="160"/>
      </w:pPr>
      <w:r>
        <w:rPr>
          <w:rFonts w:ascii="Calibri" w:cs="Calibri" w:eastAsia="Calibri" w:hAnsi="Calibri"/>
          <w:color w:val="5C6678"/>
          <w:sz w:val="21"/>
          <w:szCs w:val="21"/>
        </w:rPr>
        <w:t xml:space="preserve">Every learner starts here regardless of their eventual role — lab director, scientist, front-desk officer, or IT administrator — because every one of those roles depends on understanding the same foundation: what LabOS actually is, how access and security work, how to find anything inside it quickly, and how one specimen travels from a patient's arm to a signed report on a doctor's desk.</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1 — LabOS Essentials, Module 1 of 3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 Help &amp; Documentation articles (gs-1 through gs-8),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70–90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None — this is the entry point to the entire CLA program</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New LabOS administrators almost always make the same early mistake: they treat the system as a set of screens to memorize rather than a model of how a laboratory actually operates. Someone who learns "click here to register a patient" without understanding why the hospital number format matters, why two-factor authentication is mandatory rather than optional, or why data is scoped to a centre rather than the whole tenant, will eventually make a decision that looks correct on screen but is wrong for the laboratory. This module exists to build that underlying mental model first, before a single transaction is processed.</w:t>
      </w:r>
    </w:p>
    <w:p>
      <w:r>
        <w:br w:type="page"/>
      </w:r>
    </w:p>
    <w:p>
      <w:pPr>
        <w:spacing w:after="60"/>
      </w:pPr>
      <w:r>
        <w:rPr>
          <w:rFonts w:ascii="Calibri" w:cs="Calibri" w:eastAsia="Calibri" w:hAnsi="Calibri"/>
          <w:b/>
          <w:bCs/>
          <w:color w:val="A8552E"/>
          <w:spacing w:val="14"/>
          <w:sz w:val="17"/>
          <w:szCs w:val="17"/>
        </w:rPr>
        <w:t xml:space="preserve">MODULE 1</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1, a learner will be able to do all of the following — not just locate the relevant button, but explain the reasoning behind it well enough to train someone else.</w:t>
      </w:r>
    </w:p>
    <w:p>
      <w:pPr>
        <w:spacing w:after="80"/>
      </w:pPr>
    </w:p>
    <w:p>
      <w:pPr>
        <w:pStyle w:val="ListParagraph"/>
        <w:numPr>
          <w:ilvl w:val="0"/>
          <w:numId w:val="2"/>
        </w:numPr>
        <w:spacing w:after="90"/>
      </w:pPr>
      <w:r>
        <w:rPr>
          <w:rFonts w:ascii="Calibri" w:cs="Calibri" w:eastAsia="Calibri" w:hAnsi="Calibri"/>
          <w:color w:val="5C6678"/>
          <w:sz w:val="21"/>
          <w:szCs w:val="21"/>
        </w:rPr>
        <w:t xml:space="preserve">Explain what a Laboratory Information Management System (LIMS) is, what specific problem LabOS solves for an African clinical laboratory, and why digitizing these functions changes patient outcomes — not just paperwork.</w:t>
      </w:r>
    </w:p>
    <w:p>
      <w:pPr>
        <w:pStyle w:val="ListParagraph"/>
        <w:numPr>
          <w:ilvl w:val="0"/>
          <w:numId w:val="2"/>
        </w:numPr>
        <w:spacing w:after="90"/>
      </w:pPr>
      <w:r>
        <w:rPr>
          <w:rFonts w:ascii="Calibri" w:cs="Calibri" w:eastAsia="Calibri" w:hAnsi="Calibri"/>
          <w:color w:val="5C6678"/>
          <w:sz w:val="21"/>
          <w:szCs w:val="21"/>
        </w:rPr>
        <w:t xml:space="preserve">Describe LabOS's seven primary user roles, what each role is responsible for, and why role-based access is a patient-safety control rather than an administrative inconvenience.</w:t>
      </w:r>
    </w:p>
    <w:p>
      <w:pPr>
        <w:pStyle w:val="ListParagraph"/>
        <w:numPr>
          <w:ilvl w:val="0"/>
          <w:numId w:val="2"/>
        </w:numPr>
        <w:spacing w:after="90"/>
      </w:pPr>
      <w:r>
        <w:rPr>
          <w:rFonts w:ascii="Calibri" w:cs="Calibri" w:eastAsia="Calibri" w:hAnsi="Calibri"/>
          <w:color w:val="5C6678"/>
          <w:sz w:val="21"/>
          <w:szCs w:val="21"/>
        </w:rPr>
        <w:t xml:space="preserve">Navigate the three-zone sidebar (Workspace, Operations, Administration) confidently, and explain the operational logic behind why functions are grouped the way they are.</w:t>
      </w:r>
    </w:p>
    <w:p>
      <w:pPr>
        <w:pStyle w:val="ListParagraph"/>
        <w:numPr>
          <w:ilvl w:val="0"/>
          <w:numId w:val="2"/>
        </w:numPr>
        <w:spacing w:after="90"/>
      </w:pPr>
      <w:r>
        <w:rPr>
          <w:rFonts w:ascii="Calibri" w:cs="Calibri" w:eastAsia="Calibri" w:hAnsi="Calibri"/>
          <w:color w:val="5C6678"/>
          <w:sz w:val="21"/>
          <w:szCs w:val="21"/>
        </w:rPr>
        <w:t xml:space="preserve">Distinguish a tenant from a centre, explain how data scoping protects a multi-branch laboratory, and identify which roles can see across centres versus a single branch.</w:t>
      </w:r>
    </w:p>
    <w:p>
      <w:pPr>
        <w:pStyle w:val="ListParagraph"/>
        <w:numPr>
          <w:ilvl w:val="0"/>
          <w:numId w:val="2"/>
        </w:numPr>
        <w:spacing w:after="90"/>
      </w:pPr>
      <w:r>
        <w:rPr>
          <w:rFonts w:ascii="Calibri" w:cs="Calibri" w:eastAsia="Calibri" w:hAnsi="Calibri"/>
          <w:color w:val="5C6678"/>
          <w:sz w:val="21"/>
          <w:szCs w:val="21"/>
        </w:rPr>
        <w:t xml:space="preserve">Set up two-factor authentication correctly, explain why it is mandatory rather than optional for specific actions, and respond appropriately if a recovery scenario occurs.</w:t>
      </w:r>
    </w:p>
    <w:p>
      <w:pPr>
        <w:pStyle w:val="ListParagraph"/>
        <w:numPr>
          <w:ilvl w:val="0"/>
          <w:numId w:val="2"/>
        </w:numPr>
        <w:spacing w:after="90"/>
      </w:pPr>
      <w:r>
        <w:rPr>
          <w:rFonts w:ascii="Calibri" w:cs="Calibri" w:eastAsia="Calibri" w:hAnsi="Calibri"/>
          <w:color w:val="5C6678"/>
          <w:sz w:val="21"/>
          <w:szCs w:val="21"/>
        </w:rPr>
        <w:t xml:space="preserve">Use both keyword search and the keyboard command palette to locate any test, patient, or page in LabOS in under ten seconds.</w:t>
      </w:r>
    </w:p>
    <w:p>
      <w:pPr>
        <w:pStyle w:val="ListParagraph"/>
        <w:numPr>
          <w:ilvl w:val="0"/>
          <w:numId w:val="2"/>
        </w:numPr>
        <w:spacing w:after="90"/>
      </w:pPr>
      <w:r>
        <w:rPr>
          <w:rFonts w:ascii="Calibri" w:cs="Calibri" w:eastAsia="Calibri" w:hAnsi="Calibri"/>
          <w:color w:val="5C6678"/>
          <w:sz w:val="21"/>
          <w:szCs w:val="21"/>
        </w:rPr>
        <w:t xml:space="preserve">Explain how LabOS's four subscription plans translate into real operational limits (centres, staff seats, monthly patient volume) that a tenant administrator must actively manage.</w:t>
      </w:r>
    </w:p>
    <w:p>
      <w:pPr>
        <w:pStyle w:val="ListParagraph"/>
        <w:numPr>
          <w:ilvl w:val="0"/>
          <w:numId w:val="2"/>
        </w:numPr>
        <w:spacing w:after="90"/>
      </w:pPr>
      <w:r>
        <w:rPr>
          <w:rFonts w:ascii="Calibri" w:cs="Calibri" w:eastAsia="Calibri" w:hAnsi="Calibri"/>
          <w:color w:val="5C6678"/>
          <w:sz w:val="21"/>
          <w:szCs w:val="21"/>
        </w:rPr>
        <w:t xml:space="preserve">Walk a single test request through all seven stages of the LabOS workflow — registration through report release — and explain what role performs each stage and why the handoffs exist.</w:t>
      </w:r>
    </w:p>
    <w:p>
      <w:pPr>
        <w:pStyle w:val="ListParagraph"/>
        <w:numPr>
          <w:ilvl w:val="0"/>
          <w:numId w:val="2"/>
        </w:numPr>
        <w:spacing w:after="90"/>
      </w:pPr>
      <w:r>
        <w:rPr>
          <w:rFonts w:ascii="Calibri" w:cs="Calibri" w:eastAsia="Calibri" w:hAnsi="Calibri"/>
          <w:color w:val="5C6678"/>
          <w:sz w:val="21"/>
          <w:szCs w:val="21"/>
        </w:rPr>
        <w:t xml:space="preserve">Identify the correct support channel for a given type of problem, and explain why response-time expectations differ by channel.</w:t>
      </w:r>
    </w:p>
    <w:p>
      <w:r>
        <w:br w:type="page"/>
      </w:r>
    </w:p>
    <w:p>
      <w:pPr>
        <w:spacing w:after="60"/>
      </w:pPr>
      <w:r>
        <w:rPr>
          <w:rFonts w:ascii="Calibri" w:cs="Calibri" w:eastAsia="Calibri" w:hAnsi="Calibri"/>
          <w:b/>
          <w:bCs/>
          <w:color w:val="A8552E"/>
          <w:spacing w:val="14"/>
          <w:sz w:val="17"/>
          <w:szCs w:val="17"/>
        </w:rPr>
        <w:t xml:space="preserve">MODULE 1</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are the foundational ideas this module is built around. Every lesson below returns to these concepts — they are not theory for its own sake, but the reasoning every later module assumes you already have.</w:t>
      </w:r>
    </w:p>
    <w:p>
      <w:pPr>
        <w:spacing w:after="80"/>
      </w:pPr>
    </w:p>
    <w:p>
      <w:pPr>
        <w:spacing w:after="100" w:before="220"/>
      </w:pPr>
      <w:r>
        <w:rPr>
          <w:rFonts w:ascii="Calibri" w:cs="Calibri" w:eastAsia="Calibri" w:hAnsi="Calibri"/>
          <w:b/>
          <w:bCs/>
          <w:color w:val="0E1F33"/>
          <w:sz w:val="22"/>
          <w:szCs w:val="22"/>
        </w:rPr>
        <w:t xml:space="preserve">Concept: A LIMS is an operational system, not a record-keeping system</w:t>
      </w:r>
    </w:p>
    <w:p>
      <w:pPr>
        <w:spacing w:after="160"/>
      </w:pPr>
      <w:r>
        <w:rPr>
          <w:rFonts w:ascii="Calibri" w:cs="Calibri" w:eastAsia="Calibri" w:hAnsi="Calibri"/>
          <w:color w:val="5C6678"/>
          <w:sz w:val="21"/>
          <w:szCs w:val="21"/>
        </w:rPr>
        <w:t xml:space="preserve">Paper laboratory registers record what happened. LabOS actively shapes what happens next — it will not let an unauthorised user release a critical result, it automatically calculates reference ranges by age and sex, and it routes a sample to the correct bench without anyone needing to remember which bench handles which test. The distinction matters: when something "goes wrong" in LabOS, the right question is usually not "how do I override this" but "what is the system protecting against, and is that protection still appropriate here."</w:t>
      </w:r>
    </w:p>
    <w:p>
      <w:pPr>
        <w:spacing w:after="100" w:before="220"/>
      </w:pPr>
      <w:r>
        <w:rPr>
          <w:rFonts w:ascii="Calibri" w:cs="Calibri" w:eastAsia="Calibri" w:hAnsi="Calibri"/>
          <w:b/>
          <w:bCs/>
          <w:color w:val="0E1F33"/>
          <w:sz w:val="22"/>
          <w:szCs w:val="22"/>
        </w:rPr>
        <w:t xml:space="preserve">Concept: Role-based access is a clinical safety control</w:t>
      </w:r>
    </w:p>
    <w:p>
      <w:pPr>
        <w:spacing w:after="160"/>
      </w:pPr>
      <w:r>
        <w:rPr>
          <w:rFonts w:ascii="Calibri" w:cs="Calibri" w:eastAsia="Calibri" w:hAnsi="Calibri"/>
          <w:color w:val="5C6678"/>
          <w:sz w:val="21"/>
          <w:szCs w:val="21"/>
        </w:rPr>
        <w:t xml:space="preserve">It is tempting to think of the 13-role × 12-permission matrix as bureaucracy. It exists because laboratory errors are rarely caused by people who don't know what they're doing — they're caused by people doing something slightly outside their normal role under time pressure. A front-desk officer should not be able to release a report, not because they are untrusted, but because report release is a clinical judgment a different role is trained and accountable for.</w:t>
      </w:r>
    </w:p>
    <w:p>
      <w:pPr>
        <w:spacing w:after="100" w:before="220"/>
      </w:pPr>
      <w:r>
        <w:rPr>
          <w:rFonts w:ascii="Calibri" w:cs="Calibri" w:eastAsia="Calibri" w:hAnsi="Calibri"/>
          <w:b/>
          <w:bCs/>
          <w:color w:val="0E1F33"/>
          <w:sz w:val="22"/>
          <w:szCs w:val="22"/>
        </w:rPr>
        <w:t xml:space="preserve">Concept: Tenant and centre are different scopes of truth</w:t>
      </w:r>
    </w:p>
    <w:p>
      <w:pPr>
        <w:spacing w:after="160"/>
      </w:pPr>
      <w:r>
        <w:rPr>
          <w:rFonts w:ascii="Calibri" w:cs="Calibri" w:eastAsia="Calibri" w:hAnsi="Calibri"/>
          <w:color w:val="5C6678"/>
          <w:sz w:val="21"/>
          <w:szCs w:val="21"/>
        </w:rPr>
        <w:t xml:space="preserve">A tenant is the legal organisation; a centre is a physical location. This sounds like a technicality until a multi-branch laboratory needs to answer: "did this patient have a test done at our Lekki branch last month?" Data scoping is what makes that question answerable correctly — and what prevents a front-desk officer at one branch from casually browsing another branch's patient list.</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Set up 2FA with an authenticator app, not SMS, as your first action in LabOS — SMS is a fallback, not a default.</w:t>
            </w:r>
          </w:p>
          <w:p>
            <w:pPr>
              <w:pStyle w:val="ListParagraph"/>
              <w:numPr>
                <w:ilvl w:val="0"/>
                <w:numId w:val="3"/>
              </w:numPr>
              <w:spacing w:after="70"/>
            </w:pPr>
            <w:r>
              <w:rPr>
                <w:rFonts w:ascii="Calibri" w:cs="Calibri" w:eastAsia="Calibri" w:hAnsi="Calibri"/>
                <w:color w:val="5C6678"/>
                <w:sz w:val="20"/>
                <w:szCs w:val="20"/>
              </w:rPr>
              <w:t xml:space="preserve">Learn the sidebar's three-zone logic (Workspace / Operations / Administration) rather than memorizing individual page locations — the logic transfers to every future LabOS update.</w:t>
            </w:r>
          </w:p>
          <w:p>
            <w:pPr>
              <w:pStyle w:val="ListParagraph"/>
              <w:numPr>
                <w:ilvl w:val="0"/>
                <w:numId w:val="3"/>
              </w:numPr>
              <w:spacing w:after="70"/>
            </w:pPr>
            <w:r>
              <w:rPr>
                <w:rFonts w:ascii="Calibri" w:cs="Calibri" w:eastAsia="Calibri" w:hAnsi="Calibri"/>
                <w:color w:val="5C6678"/>
                <w:sz w:val="20"/>
                <w:szCs w:val="20"/>
              </w:rPr>
              <w:t xml:space="preserve">Use Ctrl+K (⌘K on Mac) from your very first session — administrators who skip the command palette early rarely adopt it later, and lose significant daily time to mouse navigation.</w:t>
            </w:r>
          </w:p>
          <w:p>
            <w:pPr>
              <w:pStyle w:val="ListParagraph"/>
              <w:numPr>
                <w:ilvl w:val="0"/>
                <w:numId w:val="3"/>
              </w:numPr>
              <w:spacing w:after="70"/>
            </w:pPr>
            <w:r>
              <w:rPr>
                <w:rFonts w:ascii="Calibri" w:cs="Calibri" w:eastAsia="Calibri" w:hAnsi="Calibri"/>
                <w:color w:val="5C6678"/>
                <w:sz w:val="20"/>
                <w:szCs w:val="20"/>
              </w:rPr>
              <w:t xml:space="preserve">Know your laboratory's plan tier and its limits before you need them — discovering a staff-seat limit while trying to onboard a new hire mid-shift is an avoidable problem.</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Treating the hospital number format (PT-2026-NNNN) as arbitrary and manually re-typing or "correcting" auto-generated numbers — this breaks lookups and duplicate-detection.</w:t>
            </w:r>
          </w:p>
          <w:p>
            <w:pPr>
              <w:pStyle w:val="ListParagraph"/>
              <w:numPr>
                <w:ilvl w:val="0"/>
                <w:numId w:val="3"/>
              </w:numPr>
              <w:spacing w:after="70"/>
            </w:pPr>
            <w:r>
              <w:rPr>
                <w:rFonts w:ascii="Calibri" w:cs="Calibri" w:eastAsia="Calibri" w:hAnsi="Calibri"/>
                <w:color w:val="5C6678"/>
                <w:sz w:val="20"/>
                <w:szCs w:val="20"/>
              </w:rPr>
              <w:t xml:space="preserve">Registering 2FA via SMS for convenience, then losing access when travelling outside Nigeria or during a network outage with no recovery codes saved.</w:t>
            </w:r>
          </w:p>
          <w:p>
            <w:pPr>
              <w:pStyle w:val="ListParagraph"/>
              <w:numPr>
                <w:ilvl w:val="0"/>
                <w:numId w:val="3"/>
              </w:numPr>
              <w:spacing w:after="70"/>
            </w:pPr>
            <w:r>
              <w:rPr>
                <w:rFonts w:ascii="Calibri" w:cs="Calibri" w:eastAsia="Calibri" w:hAnsi="Calibri"/>
                <w:color w:val="5C6678"/>
                <w:sz w:val="20"/>
                <w:szCs w:val="20"/>
              </w:rPr>
              <w:t xml:space="preserve">Assuming "Active centre" only affects what you see, when for non-admin roles it can also affect what you are permitted to create or edit.</w:t>
            </w:r>
          </w:p>
          <w:p>
            <w:pPr>
              <w:pStyle w:val="ListParagraph"/>
              <w:numPr>
                <w:ilvl w:val="0"/>
                <w:numId w:val="3"/>
              </w:numPr>
              <w:spacing w:after="70"/>
            </w:pPr>
            <w:r>
              <w:rPr>
                <w:rFonts w:ascii="Calibri" w:cs="Calibri" w:eastAsia="Calibri" w:hAnsi="Calibri"/>
                <w:color w:val="5C6678"/>
                <w:sz w:val="20"/>
                <w:szCs w:val="20"/>
              </w:rPr>
              <w:t xml:space="preserve">Confusing the 7-stage clinical workflow with a strict, unbreakable sequence — exceptions like rejections and reruns exist and are covered in Module 3, but a new administrator who doesn't yet know that may panic the first time a sample is rejected.</w:t>
            </w:r>
          </w:p>
        </w:tc>
      </w:tr>
    </w:tbl>
    <w:p>
      <w:r>
        <w:br w:type="page"/>
      </w:r>
    </w:p>
    <w:p>
      <w:pPr>
        <w:spacing w:after="60"/>
      </w:pPr>
      <w:r>
        <w:rPr>
          <w:rFonts w:ascii="Calibri" w:cs="Calibri" w:eastAsia="Calibri" w:hAnsi="Calibri"/>
          <w:b/>
          <w:bCs/>
          <w:color w:val="A8552E"/>
          <w:spacing w:val="14"/>
          <w:sz w:val="17"/>
          <w:szCs w:val="17"/>
        </w:rPr>
        <w:t xml:space="preserve">LESSON 1.1</w:t>
      </w:r>
    </w:p>
    <w:p>
      <w:pPr>
        <w:pStyle w:val="Heading1"/>
      </w:pPr>
      <w:r>
        <w:rPr>
          <w:rFonts w:ascii="Calibri" w:cs="Calibri" w:eastAsia="Calibri" w:hAnsi="Calibri"/>
        </w:rPr>
        <w:t xml:space="preserve">Orienting Yourself in a Digital Laboratory</w:t>
      </w:r>
    </w:p>
    <w:p>
      <w:pPr>
        <w:spacing w:after="200"/>
      </w:pPr>
      <w:r>
        <w:rPr>
          <w:rFonts w:ascii="Calibri" w:cs="Calibri" w:eastAsia="Calibri" w:hAnsi="Calibri"/>
          <w:color w:val="5C6678"/>
          <w:sz w:val="23"/>
          <w:szCs w:val="23"/>
        </w:rPr>
        <w:t xml:space="preserve">Before touching a single screen, a new administrator needs a mental map: what LabOS actually is, who the seven people around them in the building will use it for, and how the sidebar reflects the real shape of laboratory work.</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answers three questions a new administrator should be able to answer confidently before processing a single transaction: What problem does this software actually solve? Who else in my building depends on it, and for what? And how is it organised, so I'm not hunting for things on day three? Documentation tells you the sidebar has three sections. This lesson explains why those three sections exist, and what it tells you about how laboratory work is actually structured.</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Before LIMS software existed, laboratory results lived in physical registers, handwritten request slips, and the memory of whoever was on shift. This created three chronic, dangerous problems that every clinical laboratory eventually runs into: results that couldn't be found when needed, no reliable way to prove who entered or approved a result, and no way to flag a dangerously abnormal value before it sat unnoticed in a pile of paper. A Laboratory Information Management System exists specifically to remove those three failure modes — not as a digitization exercise for its own sake, but because each one has caused real, documented patient harm in laboratories worldwide. Every design decision in LabOS — barcoded samples, mandatory validation steps, automatic critical-value flagging — traces back to closing one of these three gaps.</w:t>
      </w:r>
    </w:p>
    <w:p>
      <w:pPr>
        <w:spacing w:after="160"/>
      </w:pPr>
      <w:r>
        <w:rPr>
          <w:rFonts w:ascii="Calibri" w:cs="Calibri" w:eastAsia="Calibri" w:hAnsi="Calibri"/>
          <w:color w:val="5C6678"/>
          <w:sz w:val="21"/>
          <w:szCs w:val="21"/>
        </w:rPr>
        <w:t xml:space="preserve">This is why a competent LabOS administrator needs to understand laboratory operations, not just software navigation. The software encodes a set of operational rules; an administrator who doesn't understand the underlying rule will eventually misconfigure the software in a way that quietly reintroduces the exact problem the system was built to prevent.</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What LabOS manages end-to-end: registration, ordering, sample tracking, results, validation, report release, billing, inventory, and specialty workflows (renal, histopathology, molecular, imaging, health packages).</w:t>
      </w:r>
    </w:p>
    <w:p>
      <w:pPr>
        <w:pStyle w:val="ListParagraph"/>
        <w:numPr>
          <w:ilvl w:val="0"/>
          <w:numId w:val="3"/>
        </w:numPr>
        <w:spacing w:after="90"/>
      </w:pPr>
      <w:r>
        <w:rPr>
          <w:rFonts w:ascii="Calibri" w:cs="Calibri" w:eastAsia="Calibri" w:hAnsi="Calibri"/>
          <w:color w:val="5C6678"/>
          <w:sz w:val="21"/>
          <w:szCs w:val="21"/>
        </w:rPr>
        <w:t xml:space="preserve">The seven primary LabOS user roles and their responsibilities.</w:t>
      </w:r>
    </w:p>
    <w:p>
      <w:pPr>
        <w:pStyle w:val="ListParagraph"/>
        <w:numPr>
          <w:ilvl w:val="0"/>
          <w:numId w:val="3"/>
        </w:numPr>
        <w:spacing w:after="90"/>
      </w:pPr>
      <w:r>
        <w:rPr>
          <w:rFonts w:ascii="Calibri" w:cs="Calibri" w:eastAsia="Calibri" w:hAnsi="Calibri"/>
          <w:color w:val="5C6678"/>
          <w:sz w:val="21"/>
          <w:szCs w:val="21"/>
        </w:rPr>
        <w:t xml:space="preserve">The three-zone sidebar structure: Workspace, Operations, Administration.</w:t>
      </w:r>
    </w:p>
    <w:p>
      <w:pPr>
        <w:pStyle w:val="ListParagraph"/>
        <w:numPr>
          <w:ilvl w:val="0"/>
          <w:numId w:val="3"/>
        </w:numPr>
        <w:spacing w:after="90"/>
      </w:pPr>
      <w:r>
        <w:rPr>
          <w:rFonts w:ascii="Calibri" w:cs="Calibri" w:eastAsia="Calibri" w:hAnsi="Calibri"/>
          <w:color w:val="5C6678"/>
          <w:sz w:val="21"/>
          <w:szCs w:val="21"/>
        </w:rPr>
        <w:t xml:space="preserve">The Active Centre switcher and what it controls.</w:t>
      </w:r>
    </w:p>
    <w:p>
      <w:pPr>
        <w:pStyle w:val="ListParagraph"/>
        <w:numPr>
          <w:ilvl w:val="0"/>
          <w:numId w:val="3"/>
        </w:numPr>
        <w:spacing w:after="90"/>
      </w:pPr>
      <w:r>
        <w:rPr>
          <w:rFonts w:ascii="Calibri" w:cs="Calibri" w:eastAsia="Calibri" w:hAnsi="Calibri"/>
          <w:color w:val="5C6678"/>
          <w:sz w:val="21"/>
          <w:szCs w:val="21"/>
        </w:rPr>
        <w:t xml:space="preserve">The distinction between a tenant (the laboratory organisation) and a centre (a physical branch).</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Understanding the seven roles</w:t>
      </w:r>
    </w:p>
    <w:p>
      <w:pPr>
        <w:spacing w:after="160"/>
      </w:pPr>
      <w:r>
        <w:rPr>
          <w:rFonts w:ascii="Calibri" w:cs="Calibri" w:eastAsia="Calibri" w:hAnsi="Calibri"/>
          <w:color w:val="5C6678"/>
          <w:sz w:val="21"/>
          <w:szCs w:val="21"/>
        </w:rPr>
        <w:t xml:space="preserve">LabOS recognises seven primary roles, each mapped to a real job function inside a laboratory, not an abstract permission level:</w:t>
      </w:r>
    </w:p>
    <w:p>
      <w:pPr>
        <w:pStyle w:val="ListParagraph"/>
        <w:numPr>
          <w:ilvl w:val="0"/>
          <w:numId w:val="3"/>
        </w:numPr>
        <w:spacing w:after="90"/>
      </w:pPr>
      <w:r>
        <w:rPr>
          <w:rFonts w:ascii="Calibri" w:cs="Calibri" w:eastAsia="Calibri" w:hAnsi="Calibri"/>
          <w:color w:val="5C6678"/>
          <w:sz w:val="21"/>
          <w:szCs w:val="21"/>
        </w:rPr>
        <w:t xml:space="preserve">Lab directors and pathologists — sign off reports, validate critical results, and hold ultimate accountability for what leaves the building.</w:t>
      </w:r>
    </w:p>
    <w:p>
      <w:pPr>
        <w:pStyle w:val="ListParagraph"/>
        <w:numPr>
          <w:ilvl w:val="0"/>
          <w:numId w:val="3"/>
        </w:numPr>
        <w:spacing w:after="90"/>
      </w:pPr>
      <w:r>
        <w:rPr>
          <w:rFonts w:ascii="Calibri" w:cs="Calibri" w:eastAsia="Calibri" w:hAnsi="Calibri"/>
          <w:color w:val="5C6678"/>
          <w:sz w:val="21"/>
          <w:szCs w:val="21"/>
        </w:rPr>
        <w:t xml:space="preserve">Medical laboratory scientists — enter and review results, manage quality control.</w:t>
      </w:r>
    </w:p>
    <w:p>
      <w:pPr>
        <w:pStyle w:val="ListParagraph"/>
        <w:numPr>
          <w:ilvl w:val="0"/>
          <w:numId w:val="3"/>
        </w:numPr>
        <w:spacing w:after="90"/>
      </w:pPr>
      <w:r>
        <w:rPr>
          <w:rFonts w:ascii="Calibri" w:cs="Calibri" w:eastAsia="Calibri" w:hAnsi="Calibri"/>
          <w:color w:val="5C6678"/>
          <w:sz w:val="21"/>
          <w:szCs w:val="21"/>
        </w:rPr>
        <w:t xml:space="preserve">Front-desk officers — register patients, create test requests, take payments.</w:t>
      </w:r>
    </w:p>
    <w:p>
      <w:pPr>
        <w:pStyle w:val="ListParagraph"/>
        <w:numPr>
          <w:ilvl w:val="0"/>
          <w:numId w:val="3"/>
        </w:numPr>
        <w:spacing w:after="90"/>
      </w:pPr>
      <w:r>
        <w:rPr>
          <w:rFonts w:ascii="Calibri" w:cs="Calibri" w:eastAsia="Calibri" w:hAnsi="Calibri"/>
          <w:color w:val="5C6678"/>
          <w:sz w:val="21"/>
          <w:szCs w:val="21"/>
        </w:rPr>
        <w:t xml:space="preserve">Cashiers — process invoices, reconcile Paystack and cash payments.</w:t>
      </w:r>
    </w:p>
    <w:p>
      <w:pPr>
        <w:pStyle w:val="ListParagraph"/>
        <w:numPr>
          <w:ilvl w:val="0"/>
          <w:numId w:val="3"/>
        </w:numPr>
        <w:spacing w:after="90"/>
      </w:pPr>
      <w:r>
        <w:rPr>
          <w:rFonts w:ascii="Calibri" w:cs="Calibri" w:eastAsia="Calibri" w:hAnsi="Calibri"/>
          <w:color w:val="5C6678"/>
          <w:sz w:val="21"/>
          <w:szCs w:val="21"/>
        </w:rPr>
        <w:t xml:space="preserve">Nurses and phlebotomists — collect samples, mark chain of custody, capture vital signs.</w:t>
      </w:r>
    </w:p>
    <w:p>
      <w:pPr>
        <w:pStyle w:val="ListParagraph"/>
        <w:numPr>
          <w:ilvl w:val="0"/>
          <w:numId w:val="3"/>
        </w:numPr>
        <w:spacing w:after="90"/>
      </w:pPr>
      <w:r>
        <w:rPr>
          <w:rFonts w:ascii="Calibri" w:cs="Calibri" w:eastAsia="Calibri" w:hAnsi="Calibri"/>
          <w:color w:val="5C6678"/>
          <w:sz w:val="21"/>
          <w:szCs w:val="21"/>
        </w:rPr>
        <w:t xml:space="preserve">Inventory officers — track reagents, kits, and consumables.</w:t>
      </w:r>
    </w:p>
    <w:p>
      <w:pPr>
        <w:pStyle w:val="ListParagraph"/>
        <w:numPr>
          <w:ilvl w:val="0"/>
          <w:numId w:val="3"/>
        </w:numPr>
        <w:spacing w:after="90"/>
      </w:pPr>
      <w:r>
        <w:rPr>
          <w:rFonts w:ascii="Calibri" w:cs="Calibri" w:eastAsia="Calibri" w:hAnsi="Calibri"/>
          <w:color w:val="5C6678"/>
          <w:sz w:val="21"/>
          <w:szCs w:val="21"/>
        </w:rPr>
        <w:t xml:space="preserve">Tenant administrators — manage staff, branches, subscription, and pricing.</w:t>
      </w:r>
    </w:p>
    <w:p>
      <w:pPr>
        <w:spacing w:after="160"/>
      </w:pPr>
      <w:r>
        <w:rPr>
          <w:rFonts w:ascii="Calibri" w:cs="Calibri" w:eastAsia="Calibri" w:hAnsi="Calibri"/>
          <w:color w:val="5C6678"/>
          <w:sz w:val="21"/>
          <w:szCs w:val="21"/>
        </w:rPr>
        <w:t xml:space="preserve">Notice what's deliberate here: no single role can take a sample from registration to a released report alone. A front-desk officer cannot validate a result. A scientist cannot edit pricing. This separation is what makes the audit trail meaningful — when something is later reviewed, the system can show exactly who did each step, because no one person did all of them.</w:t>
      </w:r>
    </w:p>
    <w:p>
      <w:pPr>
        <w:spacing w:after="100" w:before="220"/>
      </w:pPr>
      <w:r>
        <w:rPr>
          <w:rFonts w:ascii="Calibri" w:cs="Calibri" w:eastAsia="Calibri" w:hAnsi="Calibri"/>
          <w:b/>
          <w:bCs/>
          <w:color w:val="0E1F33"/>
          <w:sz w:val="20"/>
          <w:szCs w:val="20"/>
        </w:rPr>
        <w:t xml:space="preserve">Reading the sidebar correctly</w:t>
      </w:r>
    </w:p>
    <w:p>
      <w:pPr>
        <w:spacing w:after="160"/>
      </w:pPr>
      <w:r>
        <w:rPr>
          <w:rFonts w:ascii="Calibri" w:cs="Calibri" w:eastAsia="Calibri" w:hAnsi="Calibri"/>
          <w:color w:val="5C6678"/>
          <w:sz w:val="21"/>
          <w:szCs w:val="21"/>
        </w:rPr>
        <w:t xml:space="preserve">The sidebar's three zones aren't an arbitrary UI choice — they mirror the rhythm of laboratory work itself:</w:t>
      </w:r>
    </w:p>
    <w:p>
      <w:pPr>
        <w:pStyle w:val="ListParagraph"/>
        <w:numPr>
          <w:ilvl w:val="0"/>
          <w:numId w:val="3"/>
        </w:numPr>
        <w:spacing w:after="90"/>
      </w:pPr>
      <w:r>
        <w:rPr>
          <w:rFonts w:ascii="Calibri" w:cs="Calibri" w:eastAsia="Calibri" w:hAnsi="Calibri"/>
          <w:b/>
          <w:bCs/>
          <w:color w:val="0E1F33"/>
          <w:sz w:val="21"/>
          <w:szCs w:val="21"/>
        </w:rPr>
        <w:t xml:space="preserve">Workspace —</w:t>
      </w:r>
      <w:r>
        <w:rPr>
          <w:rFonts w:ascii="Calibri" w:cs="Calibri" w:eastAsia="Calibri" w:hAnsi="Calibri"/>
          <w:color w:val="5C6678"/>
          <w:sz w:val="21"/>
          <w:szCs w:val="21"/>
        </w:rPr>
        <w:t xml:space="preserve"> the clinical, day-to-day flow: Dashboard, Patients, Test requests, Sample tracking, Results, plus specialty areas (Renal, Histopathology, Molecular, Imaging, DNA &amp; Genetics, Health Packages). This is where most staff spend nearly all their time.</w:t>
      </w:r>
    </w:p>
    <w:p>
      <w:pPr>
        <w:pStyle w:val="ListParagraph"/>
        <w:numPr>
          <w:ilvl w:val="0"/>
          <w:numId w:val="3"/>
        </w:numPr>
        <w:spacing w:after="90"/>
      </w:pPr>
      <w:r>
        <w:rPr>
          <w:rFonts w:ascii="Calibri" w:cs="Calibri" w:eastAsia="Calibri" w:hAnsi="Calibri"/>
          <w:b/>
          <w:bCs/>
          <w:color w:val="0E1F33"/>
          <w:sz w:val="21"/>
          <w:szCs w:val="21"/>
        </w:rPr>
        <w:t xml:space="preserve">Operations —</w:t>
      </w:r>
      <w:r>
        <w:rPr>
          <w:rFonts w:ascii="Calibri" w:cs="Calibri" w:eastAsia="Calibri" w:hAnsi="Calibri"/>
          <w:color w:val="5C6678"/>
          <w:sz w:val="21"/>
          <w:szCs w:val="21"/>
        </w:rPr>
        <w:t xml:space="preserve"> the business-running layer behind the clinical work: Billing, Inventory, Analytics. Necessary for the lab to function as a business, but distinct from clinical decision-making.</w:t>
      </w:r>
    </w:p>
    <w:p>
      <w:pPr>
        <w:pStyle w:val="ListParagraph"/>
        <w:numPr>
          <w:ilvl w:val="0"/>
          <w:numId w:val="3"/>
        </w:numPr>
        <w:spacing w:after="90"/>
      </w:pPr>
      <w:r>
        <w:rPr>
          <w:rFonts w:ascii="Calibri" w:cs="Calibri" w:eastAsia="Calibri" w:hAnsi="Calibri"/>
          <w:b/>
          <w:bCs/>
          <w:color w:val="0E1F33"/>
          <w:sz w:val="21"/>
          <w:szCs w:val="21"/>
        </w:rPr>
        <w:t xml:space="preserve">Administration —</w:t>
      </w:r>
      <w:r>
        <w:rPr>
          <w:rFonts w:ascii="Calibri" w:cs="Calibri" w:eastAsia="Calibri" w:hAnsi="Calibri"/>
          <w:color w:val="5C6678"/>
          <w:sz w:val="21"/>
          <w:szCs w:val="21"/>
        </w:rPr>
        <w:t xml:space="preserve"> configuration and governance, visible only to admin roles: Staff &amp; Roles, Tenant profile, Audit log, Pricing, Subscription, Settings.</w:t>
      </w:r>
    </w:p>
    <w:p>
      <w:pPr>
        <w:spacing w:after="160"/>
      </w:pPr>
      <w:r>
        <w:rPr>
          <w:rFonts w:ascii="Calibri" w:cs="Calibri" w:eastAsia="Calibri" w:hAnsi="Calibri"/>
          <w:color w:val="5C6678"/>
          <w:sz w:val="21"/>
          <w:szCs w:val="21"/>
        </w:rPr>
        <w:t xml:space="preserve">A practical test of whether you've internalised this structure: if a new feature is added to LabOS next year, you should be able to predict which zone it will appear in just from knowing what the feature does.</w:t>
      </w:r>
    </w:p>
    <w:p>
      <w:pPr>
        <w:spacing w:after="100" w:before="220"/>
      </w:pPr>
      <w:r>
        <w:rPr>
          <w:rFonts w:ascii="Calibri" w:cs="Calibri" w:eastAsia="Calibri" w:hAnsi="Calibri"/>
          <w:b/>
          <w:bCs/>
          <w:color w:val="0E1F33"/>
          <w:sz w:val="20"/>
          <w:szCs w:val="20"/>
        </w:rPr>
        <w:t xml:space="preserve">Tenant, centre, and the Active Centre switcher</w:t>
      </w:r>
    </w:p>
    <w:p>
      <w:pPr>
        <w:spacing w:after="160"/>
      </w:pPr>
      <w:r>
        <w:rPr>
          <w:rFonts w:ascii="Calibri" w:cs="Calibri" w:eastAsia="Calibri" w:hAnsi="Calibri"/>
          <w:color w:val="5C6678"/>
          <w:sz w:val="21"/>
          <w:szCs w:val="21"/>
        </w:rPr>
        <w:t xml:space="preserve">A tenant is your laboratory as a legal entity — for example, Vitalis Diagnostics. A centre is one physical branch under that tenant — Vitalis might operate Ikeja Main, Lekki Branch, and Abuja Wuse 2 as three separate centres. Most clinical data (patients, samples, requests) is scoped to whichever centre created it. This is intentional: a front-desk officer at Lekki should not casually browse Ikeja's patient list. Lab directors and tenant administrators are the exception — they see a consolidated, cross-centre view, and use the Active Centre switcher near the top of the sidebar to move between branches when they need a single-centre view.</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On your very first login, open every item in all three sidebar zones once, even ones you won't personally use — knowing what exists prevents you from later assuming a feature doesn't exist when a colleague asks about it.</w:t>
      </w:r>
    </w:p>
    <w:p>
      <w:pPr>
        <w:pStyle w:val="ListParagraph"/>
        <w:numPr>
          <w:ilvl w:val="0"/>
          <w:numId w:val="3"/>
        </w:numPr>
        <w:spacing w:after="90"/>
      </w:pPr>
      <w:r>
        <w:rPr>
          <w:rFonts w:ascii="Calibri" w:cs="Calibri" w:eastAsia="Calibri" w:hAnsi="Calibri"/>
          <w:color w:val="5C6678"/>
          <w:sz w:val="21"/>
          <w:szCs w:val="21"/>
        </w:rPr>
        <w:t xml:space="preserve">If your laboratory has more than one centre, confirm your assigned centre(s) before doing any data entry — entering data into the wrong centre context is a common first-week error.</w:t>
      </w:r>
    </w:p>
    <w:p>
      <w:pPr>
        <w:pStyle w:val="ListParagraph"/>
        <w:numPr>
          <w:ilvl w:val="0"/>
          <w:numId w:val="3"/>
        </w:numPr>
        <w:spacing w:after="90"/>
      </w:pPr>
      <w:r>
        <w:rPr>
          <w:rFonts w:ascii="Calibri" w:cs="Calibri" w:eastAsia="Calibri" w:hAnsi="Calibri"/>
          <w:color w:val="5C6678"/>
          <w:sz w:val="21"/>
          <w:szCs w:val="21"/>
        </w:rPr>
        <w:t xml:space="preserve">Treat the seven-role list as a reference for delegation, not just job titles — when designing staff onboarding, map each new hire explicitly to one of these roles rather than inventing ad-hoc permission sets.</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Assuming the sidebar is purely cosmetic ordering rather than a reflection of genuine operational separation — this leads to confusion later when a user can't find an item because they're looking in the wrong conceptual zone.</w:t>
      </w:r>
    </w:p>
    <w:p>
      <w:pPr>
        <w:pStyle w:val="ListParagraph"/>
        <w:numPr>
          <w:ilvl w:val="0"/>
          <w:numId w:val="3"/>
        </w:numPr>
        <w:spacing w:after="90"/>
      </w:pPr>
      <w:r>
        <w:rPr>
          <w:rFonts w:ascii="Calibri" w:cs="Calibri" w:eastAsia="Calibri" w:hAnsi="Calibri"/>
          <w:color w:val="5C6678"/>
          <w:sz w:val="21"/>
          <w:szCs w:val="21"/>
        </w:rPr>
        <w:t xml:space="preserve">Mixing up "tenant" and "centre" in conversation with colleagues or support — this is one of the most common sources of miscommunication when reporting an issue to AgoroX support, since a bug affecting one centre is very different from one affecting the whole tenant.</w:t>
      </w:r>
    </w:p>
    <w:p>
      <w:pPr>
        <w:pStyle w:val="ListParagraph"/>
        <w:numPr>
          <w:ilvl w:val="0"/>
          <w:numId w:val="3"/>
        </w:numPr>
        <w:spacing w:after="90"/>
      </w:pPr>
      <w:r>
        <w:rPr>
          <w:rFonts w:ascii="Calibri" w:cs="Calibri" w:eastAsia="Calibri" w:hAnsi="Calibri"/>
          <w:color w:val="5C6678"/>
          <w:sz w:val="21"/>
          <w:szCs w:val="21"/>
        </w:rPr>
        <w:t xml:space="preserve">New tenant administrators trying to do every role's job themselves during a busy first week, instead of trusting the role separation — this defeats the safety purpose of role-based design and creates exactly the kind of unaccountable, single-person workflow LabOS is built to prevent.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1.1 — MAP YOUR LABORATORY'S ROLES</w:t>
            </w:r>
          </w:p>
          <w:p>
            <w:r>
              <w:rPr>
                <w:rFonts w:ascii="Calibri" w:cs="Calibri" w:eastAsia="Calibri" w:hAnsi="Calibri"/>
                <w:i/>
                <w:iCs/>
                <w:color w:val="0E1F33"/>
                <w:sz w:val="21"/>
                <w:szCs w:val="21"/>
              </w:rPr>
              <w:t xml:space="preserve">In a sandbox LabOS tenant, open Staff &amp; Roles (Administration zone) and list every staff member at your real laboratory. For each person, identify which of the seven LabOS roles best matches their actual job function — including cases where one person currently does the work of two roles. Then write one sentence per person explaining what would need to change operationally (not just in the software) if you enforced strict one-role-per-person access starting tomorrow.</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no single LabOS role have permission to take a sample from registration through to report release alone?</w:t>
      </w:r>
    </w:p>
    <w:p>
      <w:pPr>
        <w:spacing w:after="60"/>
      </w:pPr>
      <w:r>
        <w:rPr>
          <w:rFonts w:ascii="Calibri" w:cs="Calibri" w:eastAsia="Calibri" w:hAnsi="Calibri"/>
          <w:color w:val="5C6678"/>
          <w:sz w:val="20"/>
          <w:szCs w:val="20"/>
        </w:rPr>
        <w:t xml:space="preserve">Because the separation of duties across multiple roles is what makes the audit trail meaningful and creates accountability — no one person can complete and approve their own work unchecked, which protects against both error and fraud.</w:t>
      </w:r>
    </w:p>
    <w:p>
      <w:pPr>
        <w:spacing w:after="50" w:before="140"/>
      </w:pPr>
      <w:r>
        <w:rPr>
          <w:rFonts w:ascii="Calibri" w:cs="Calibri" w:eastAsia="Calibri" w:hAnsi="Calibri"/>
          <w:b/>
          <w:bCs/>
          <w:color w:val="0E1F33"/>
          <w:sz w:val="21"/>
          <w:szCs w:val="21"/>
        </w:rPr>
        <w:t xml:space="preserve">2. A front-desk officer at your Lekki branch says they can't find a patient who they know was registered last week at your Ikeja branch. What's the most likely explanation, and is this a bug?</w:t>
      </w:r>
    </w:p>
    <w:p>
      <w:pPr>
        <w:spacing w:after="60"/>
      </w:pPr>
      <w:r>
        <w:rPr>
          <w:rFonts w:ascii="Calibri" w:cs="Calibri" w:eastAsia="Calibri" w:hAnsi="Calibri"/>
          <w:color w:val="5C6678"/>
          <w:sz w:val="20"/>
          <w:szCs w:val="20"/>
        </w:rPr>
        <w:t xml:space="preserve">This is very likely expected behavior, not a bug — most clinical data is scoped to the centre that created it, so a Lekki-based front-desk officer would not normally see an Ikeja-only patient unless that patient has since been referred between centres, or the officer's account has cross-centre access (typically only directors/admins).</w:t>
      </w:r>
    </w:p>
    <w:p>
      <w:pPr>
        <w:spacing w:after="50" w:before="140"/>
      </w:pPr>
      <w:r>
        <w:rPr>
          <w:rFonts w:ascii="Calibri" w:cs="Calibri" w:eastAsia="Calibri" w:hAnsi="Calibri"/>
          <w:b/>
          <w:bCs/>
          <w:color w:val="0E1F33"/>
          <w:sz w:val="21"/>
          <w:szCs w:val="21"/>
        </w:rPr>
        <w:t xml:space="preserve">3. Which sidebar zone would you expect to find a new "Reagent Expiry Alerts" feature in, and why?</w:t>
      </w:r>
    </w:p>
    <w:p>
      <w:pPr>
        <w:spacing w:after="60"/>
      </w:pPr>
      <w:r>
        <w:rPr>
          <w:rFonts w:ascii="Calibri" w:cs="Calibri" w:eastAsia="Calibri" w:hAnsi="Calibri"/>
          <w:color w:val="5C6678"/>
          <w:sz w:val="20"/>
          <w:szCs w:val="20"/>
        </w:rPr>
        <w:t xml:space="preserve">Operations — because reagent management is part of running the lab as a business/supply function, not direct clinical workflow (Workspace) or system governance (Administration).</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"Orienting Yourself in a Digital Laboratory" — CLA Module 1,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explain what LabOS does, name the seven user roles, and navigate the sidebar's three zones confidently by the end of the video.</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7–9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presenter optionally on camera for the cold open and close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(0:00–0:30) — A relatable problem statement, not a feature list.</w:t>
      </w:r>
    </w:p>
    <w:p>
      <w:pPr>
        <w:pStyle w:val="ListParagraph"/>
        <w:numPr>
          <w:ilvl w:val="0"/>
          <w:numId w:val="4"/>
        </w:numPr>
        <w:spacing w:after="90"/>
      </w:pPr>
      <w:r>
        <w:rPr>
          <w:rFonts w:ascii="Calibri" w:cs="Calibri" w:eastAsia="Calibri" w:hAnsi="Calibri"/>
          <w:color w:val="5C6678"/>
          <w:sz w:val="21"/>
          <w:szCs w:val="21"/>
        </w:rPr>
        <w:t xml:space="preserve">What LabOS actually replaces (0:30–2:00) — the paper-register problem, in concrete terms.</w:t>
      </w:r>
    </w:p>
    <w:p>
      <w:pPr>
        <w:pStyle w:val="ListParagraph"/>
        <w:numPr>
          <w:ilvl w:val="0"/>
          <w:numId w:val="4"/>
        </w:numPr>
        <w:spacing w:after="90"/>
      </w:pPr>
      <w:r>
        <w:rPr>
          <w:rFonts w:ascii="Calibri" w:cs="Calibri" w:eastAsia="Calibri" w:hAnsi="Calibri"/>
          <w:color w:val="5C6678"/>
          <w:sz w:val="21"/>
          <w:szCs w:val="21"/>
        </w:rPr>
        <w:t xml:space="preserve">The seven roles (2:00–4:00) — shown against a simple on-screen org-chart-style graphic, not just a bullet list.</w:t>
      </w:r>
    </w:p>
    <w:p>
      <w:pPr>
        <w:pStyle w:val="ListParagraph"/>
        <w:numPr>
          <w:ilvl w:val="0"/>
          <w:numId w:val="4"/>
        </w:numPr>
        <w:spacing w:after="90"/>
      </w:pPr>
      <w:r>
        <w:rPr>
          <w:rFonts w:ascii="Calibri" w:cs="Calibri" w:eastAsia="Calibri" w:hAnsi="Calibri"/>
          <w:color w:val="5C6678"/>
          <w:sz w:val="21"/>
          <w:szCs w:val="21"/>
        </w:rPr>
        <w:t xml:space="preserve">Live sidebar walkthrough (4:00–6:30) — screen recording, narrated, opening each of the three zones.</w:t>
      </w:r>
    </w:p>
    <w:p>
      <w:pPr>
        <w:pStyle w:val="ListParagraph"/>
        <w:numPr>
          <w:ilvl w:val="0"/>
          <w:numId w:val="4"/>
        </w:numPr>
        <w:spacing w:after="90"/>
      </w:pPr>
      <w:r>
        <w:rPr>
          <w:rFonts w:ascii="Calibri" w:cs="Calibri" w:eastAsia="Calibri" w:hAnsi="Calibri"/>
          <w:color w:val="5C6678"/>
          <w:sz w:val="21"/>
          <w:szCs w:val="21"/>
        </w:rPr>
        <w:t xml:space="preserve">Tenant vs. centre + Active Centre switcher demo (6:30–8:00) — using the Vitalis Diagnostics example.</w:t>
      </w:r>
    </w:p>
    <w:p>
      <w:pPr>
        <w:pStyle w:val="ListParagraph"/>
        <w:numPr>
          <w:ilvl w:val="0"/>
          <w:numId w:val="4"/>
        </w:numPr>
        <w:spacing w:after="90"/>
      </w:pPr>
      <w:r>
        <w:rPr>
          <w:rFonts w:ascii="Calibri" w:cs="Calibri" w:eastAsia="Calibri" w:hAnsi="Calibri"/>
          <w:color w:val="5C6678"/>
          <w:sz w:val="21"/>
          <w:szCs w:val="21"/>
        </w:rPr>
        <w:t xml:space="preserve">Close + transition to Lesson 1.2 (8:00–end).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a question, not a statement: "Have you ever lost a piece of paper that really mattered?" — ground the abstract LIMS concept in a universal frustration before naming the product.</w:t>
      </w:r>
    </w:p>
    <w:p>
      <w:pPr>
        <w:pStyle w:val="ListParagraph"/>
        <w:numPr>
          <w:ilvl w:val="0"/>
          <w:numId w:val="3"/>
        </w:numPr>
        <w:spacing w:after="90"/>
      </w:pPr>
      <w:r>
        <w:rPr>
          <w:rFonts w:ascii="Calibri" w:cs="Calibri" w:eastAsia="Calibri" w:hAnsi="Calibri"/>
          <w:color w:val="5C6678"/>
          <w:sz w:val="21"/>
          <w:szCs w:val="21"/>
        </w:rPr>
        <w:t xml:space="preserve">When introducing the seven roles, explicitly say out loud: "Notice that no one role can do this whole journey alone — that's not an accident." Make the design intent audible, not just visible.</w:t>
      </w:r>
    </w:p>
    <w:p>
      <w:pPr>
        <w:pStyle w:val="ListParagraph"/>
        <w:numPr>
          <w:ilvl w:val="0"/>
          <w:numId w:val="3"/>
        </w:numPr>
        <w:spacing w:after="90"/>
      </w:pPr>
      <w:r>
        <w:rPr>
          <w:rFonts w:ascii="Calibri" w:cs="Calibri" w:eastAsia="Calibri" w:hAnsi="Calibri"/>
          <w:color w:val="5C6678"/>
          <w:sz w:val="21"/>
          <w:szCs w:val="21"/>
        </w:rPr>
        <w:t xml:space="preserve">When demonstrating the sidebar, narrate your own thought process: "I'm looking for Billing — that's a business function, not clinical, so I expect it under Operations... there it is." This models the mental shortcut for the learner, not just the click path.</w:t>
      </w:r>
    </w:p>
    <w:p>
      <w:pPr>
        <w:pStyle w:val="ListParagraph"/>
        <w:numPr>
          <w:ilvl w:val="0"/>
          <w:numId w:val="3"/>
        </w:numPr>
        <w:spacing w:after="90"/>
      </w:pPr>
      <w:r>
        <w:rPr>
          <w:rFonts w:ascii="Calibri" w:cs="Calibri" w:eastAsia="Calibri" w:hAnsi="Calibri"/>
          <w:color w:val="5C6678"/>
          <w:sz w:val="21"/>
          <w:szCs w:val="21"/>
        </w:rPr>
        <w:t xml:space="preserve">Use the real Vitalis Diagnostics example by name when explaining tenant vs. centre — a named, concrete example is retained far better than "Laboratory A."</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Start on a fresh login screen, log into a sandbox tenant.</w:t>
      </w:r>
    </w:p>
    <w:p>
      <w:pPr>
        <w:pStyle w:val="ListParagraph"/>
        <w:numPr>
          <w:ilvl w:val="0"/>
          <w:numId w:val="5"/>
        </w:numPr>
        <w:spacing w:after="90"/>
      </w:pPr>
      <w:r>
        <w:rPr>
          <w:rFonts w:ascii="Calibri" w:cs="Calibri" w:eastAsia="Calibri" w:hAnsi="Calibri"/>
          <w:color w:val="5C6678"/>
          <w:sz w:val="21"/>
          <w:szCs w:val="21"/>
        </w:rPr>
        <w:t xml:space="preserve">Pause on the Dashboard for 2–3 seconds before moving — let viewers orient.</w:t>
      </w:r>
    </w:p>
    <w:p>
      <w:pPr>
        <w:pStyle w:val="ListParagraph"/>
        <w:numPr>
          <w:ilvl w:val="0"/>
          <w:numId w:val="5"/>
        </w:numPr>
        <w:spacing w:after="90"/>
      </w:pPr>
      <w:r>
        <w:rPr>
          <w:rFonts w:ascii="Calibri" w:cs="Calibri" w:eastAsia="Calibri" w:hAnsi="Calibri"/>
          <w:color w:val="5C6678"/>
          <w:sz w:val="21"/>
          <w:szCs w:val="21"/>
        </w:rPr>
        <w:t xml:space="preserve">Click open Workspace zone, hover (don't click into) each item slowly: Dashboard, Patients, Test requests, Sample tracking, Results, then the specialty group.</w:t>
      </w:r>
    </w:p>
    <w:p>
      <w:pPr>
        <w:pStyle w:val="ListParagraph"/>
        <w:numPr>
          <w:ilvl w:val="0"/>
          <w:numId w:val="5"/>
        </w:numPr>
        <w:spacing w:after="90"/>
      </w:pPr>
      <w:r>
        <w:rPr>
          <w:rFonts w:ascii="Calibri" w:cs="Calibri" w:eastAsia="Calibri" w:hAnsi="Calibri"/>
          <w:color w:val="5C6678"/>
          <w:sz w:val="21"/>
          <w:szCs w:val="21"/>
        </w:rPr>
        <w:t xml:space="preserve">Click open Operations zone, hover Billing, Inventory, Analytics.</w:t>
      </w:r>
    </w:p>
    <w:p>
      <w:pPr>
        <w:pStyle w:val="ListParagraph"/>
        <w:numPr>
          <w:ilvl w:val="0"/>
          <w:numId w:val="5"/>
        </w:numPr>
        <w:spacing w:after="90"/>
      </w:pPr>
      <w:r>
        <w:rPr>
          <w:rFonts w:ascii="Calibri" w:cs="Calibri" w:eastAsia="Calibri" w:hAnsi="Calibri"/>
          <w:color w:val="5C6678"/>
          <w:sz w:val="21"/>
          <w:szCs w:val="21"/>
        </w:rPr>
        <w:t xml:space="preserve">Click open Administration zone, hover Staff &amp; Roles, Tenant profile, Audit log, Pricing, Subscription, Settings.</w:t>
      </w:r>
    </w:p>
    <w:p>
      <w:pPr>
        <w:pStyle w:val="ListParagraph"/>
        <w:numPr>
          <w:ilvl w:val="0"/>
          <w:numId w:val="5"/>
        </w:numPr>
        <w:spacing w:after="90"/>
      </w:pPr>
      <w:r>
        <w:rPr>
          <w:rFonts w:ascii="Calibri" w:cs="Calibri" w:eastAsia="Calibri" w:hAnsi="Calibri"/>
          <w:color w:val="5C6678"/>
          <w:sz w:val="21"/>
          <w:szCs w:val="21"/>
        </w:rPr>
        <w:t xml:space="preserve">Click the Active Centre switcher, show the dropdown of centres (use Ikeja Main / Lekki Branch / Abuja Wuse 2 as the example set), switch once, point out what changes on screen.</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LabOS replaces a paper register's three biggest failure points: findability, accountability, and critical-value visibility.</w:t>
      </w:r>
    </w:p>
    <w:p>
      <w:pPr>
        <w:pStyle w:val="ListParagraph"/>
        <w:numPr>
          <w:ilvl w:val="0"/>
          <w:numId w:val="3"/>
        </w:numPr>
        <w:spacing w:after="90"/>
      </w:pPr>
      <w:r>
        <w:rPr>
          <w:rFonts w:ascii="Calibri" w:cs="Calibri" w:eastAsia="Calibri" w:hAnsi="Calibri"/>
          <w:color w:val="5C6678"/>
          <w:sz w:val="21"/>
          <w:szCs w:val="21"/>
        </w:rPr>
        <w:t xml:space="preserve">Seven roles, no overlap by design — that's a safety feature, not red tape.</w:t>
      </w:r>
    </w:p>
    <w:p>
      <w:pPr>
        <w:pStyle w:val="ListParagraph"/>
        <w:numPr>
          <w:ilvl w:val="0"/>
          <w:numId w:val="3"/>
        </w:numPr>
        <w:spacing w:after="90"/>
      </w:pPr>
      <w:r>
        <w:rPr>
          <w:rFonts w:ascii="Calibri" w:cs="Calibri" w:eastAsia="Calibri" w:hAnsi="Calibri"/>
          <w:color w:val="5C6678"/>
          <w:sz w:val="21"/>
          <w:szCs w:val="21"/>
        </w:rPr>
        <w:t xml:space="preserve">Sidebar zones = Workspace (clinical) → Operations (business) → Administration (governance).</w:t>
      </w:r>
    </w:p>
    <w:p>
      <w:pPr>
        <w:pStyle w:val="ListParagraph"/>
        <w:numPr>
          <w:ilvl w:val="0"/>
          <w:numId w:val="3"/>
        </w:numPr>
        <w:spacing w:after="90"/>
      </w:pPr>
      <w:r>
        <w:rPr>
          <w:rFonts w:ascii="Calibri" w:cs="Calibri" w:eastAsia="Calibri" w:hAnsi="Calibri"/>
          <w:color w:val="5C6678"/>
          <w:sz w:val="21"/>
          <w:szCs w:val="21"/>
        </w:rPr>
        <w:t xml:space="preserve">Tenant = your organisation. Centre = one branch. Most data stays inside its centre.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Simple animated diagram: paper register with a red "X" over Findability/Accountability/Critical-flagging, transitioning into the LabOS dashboard.</w:t>
      </w:r>
    </w:p>
    <w:p>
      <w:pPr>
        <w:pStyle w:val="ListParagraph"/>
        <w:numPr>
          <w:ilvl w:val="0"/>
          <w:numId w:val="3"/>
        </w:numPr>
        <w:spacing w:after="90"/>
      </w:pPr>
      <w:r>
        <w:rPr>
          <w:rFonts w:ascii="Calibri" w:cs="Calibri" w:eastAsia="Calibri" w:hAnsi="Calibri"/>
          <w:color w:val="5C6678"/>
          <w:sz w:val="21"/>
          <w:szCs w:val="21"/>
        </w:rPr>
        <w:t xml:space="preserve">Seven-role org chart graphic, built incrementally as each role is named.</w:t>
      </w:r>
    </w:p>
    <w:p>
      <w:pPr>
        <w:pStyle w:val="ListParagraph"/>
        <w:numPr>
          <w:ilvl w:val="0"/>
          <w:numId w:val="3"/>
        </w:numPr>
        <w:spacing w:after="90"/>
      </w:pPr>
      <w:r>
        <w:rPr>
          <w:rFonts w:ascii="Calibri" w:cs="Calibri" w:eastAsia="Calibri" w:hAnsi="Calibri"/>
          <w:color w:val="5C6678"/>
          <w:sz w:val="21"/>
          <w:szCs w:val="21"/>
        </w:rPr>
        <w:t xml:space="preserve">Sidebar with the three zones color-coded and labelled on screen as an overlay during the live walkthrough.</w:t>
      </w:r>
    </w:p>
    <w:p>
      <w:pPr>
        <w:pStyle w:val="ListParagraph"/>
        <w:numPr>
          <w:ilvl w:val="0"/>
          <w:numId w:val="3"/>
        </w:numPr>
        <w:spacing w:after="90"/>
      </w:pPr>
      <w:r>
        <w:rPr>
          <w:rFonts w:ascii="Calibri" w:cs="Calibri" w:eastAsia="Calibri" w:hAnsi="Calibri"/>
          <w:color w:val="5C6678"/>
          <w:sz w:val="21"/>
          <w:szCs w:val="21"/>
        </w:rPr>
        <w:t xml:space="preserve">Simple two-box diagram: "Tenant: Vitalis Diagnostics" with three branch boxes underneath (Ikeja / Lekki / Abuja) connecting down from it.</w:t>
      </w:r>
    </w:p>
    <w:p>
      <w:r>
        <w:br w:type="page"/>
      </w:r>
    </w:p>
    <w:p>
      <w:pPr>
        <w:spacing w:after="60"/>
      </w:pPr>
      <w:r>
        <w:rPr>
          <w:rFonts w:ascii="Calibri" w:cs="Calibri" w:eastAsia="Calibri" w:hAnsi="Calibri"/>
          <w:b/>
          <w:bCs/>
          <w:color w:val="A8552E"/>
          <w:spacing w:val="14"/>
          <w:sz w:val="17"/>
          <w:szCs w:val="17"/>
        </w:rPr>
        <w:t xml:space="preserve">LESSON 1.2</w:t>
      </w:r>
    </w:p>
    <w:p>
      <w:pPr>
        <w:pStyle w:val="Heading1"/>
      </w:pPr>
      <w:r>
        <w:rPr>
          <w:rFonts w:ascii="Calibri" w:cs="Calibri" w:eastAsia="Calibri" w:hAnsi="Calibri"/>
        </w:rPr>
        <w:t xml:space="preserve">Securing Your Account and Finding Anything Fast</w:t>
      </w:r>
    </w:p>
    <w:p>
      <w:pPr>
        <w:spacing w:after="200"/>
      </w:pPr>
      <w:r>
        <w:rPr>
          <w:rFonts w:ascii="Calibri" w:cs="Calibri" w:eastAsia="Calibri" w:hAnsi="Calibri"/>
          <w:color w:val="5C6678"/>
          <w:sz w:val="23"/>
          <w:szCs w:val="23"/>
        </w:rPr>
        <w:t xml:space="preserve">Two unrelated-looking topics — account security and search — are taught together here because both are about the same thing: removing friction and risk from daily use before it has a chance to compound across hundreds of future sessions.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two things every administrator must get right immediately: protecting the account itself, and being able to find anything in the system fast enough that searching never becomes a reason to skip a step. A third, easily overlooked topic — subscription plans and entitlements — is included here because it is also a "set up correctly once, avoid pain later" topic: a tenant administrator who doesn't understand their plan's real limits will eventually hit one mid-operation, at the worst possible time.</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Clinical laboratory data is regulated health information. A compromised LabOS account is not a minor IT incident — it is a potential breach of patient confidentiality, a possible source of falsified results, and in many jurisdictions a reportable event. This is why two-factor authentication in LabOS is not framed as a recommended best practice but as a mandatory control on any account that can release a report, modify staff permissions, or touch billing. Separately, search speed has a less obvious but very real operational cost: in a busy laboratory, every extra ten seconds spent hunting for a test code or a patient record is ten seconds a phlebotomist is standing idle, or a queue is growing at the front desk. Multiplied across hundreds of daily transactions, search efficiency is a genuine throughput factor, not a convenience feature.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Two-factor authentication: why it's required, the three supported methods, setup steps, and recovery-code handling.</w:t>
      </w:r>
    </w:p>
    <w:p>
      <w:pPr>
        <w:pStyle w:val="ListParagraph"/>
        <w:numPr>
          <w:ilvl w:val="0"/>
          <w:numId w:val="3"/>
        </w:numPr>
        <w:spacing w:after="90"/>
      </w:pPr>
      <w:r>
        <w:rPr>
          <w:rFonts w:ascii="Calibri" w:cs="Calibri" w:eastAsia="Calibri" w:hAnsi="Calibri"/>
          <w:color w:val="5C6678"/>
          <w:sz w:val="21"/>
          <w:szCs w:val="21"/>
        </w:rPr>
        <w:t xml:space="preserve">The dashboard catalogue search across all 402 catalogue items (267 lab tests, 66 imaging studies, 39 DNA tests, 30 health packages), including alias/patient-language search.</w:t>
      </w:r>
    </w:p>
    <w:p>
      <w:pPr>
        <w:pStyle w:val="ListParagraph"/>
        <w:numPr>
          <w:ilvl w:val="0"/>
          <w:numId w:val="3"/>
        </w:numPr>
        <w:spacing w:after="90"/>
      </w:pPr>
      <w:r>
        <w:rPr>
          <w:rFonts w:ascii="Calibri" w:cs="Calibri" w:eastAsia="Calibri" w:hAnsi="Calibri"/>
          <w:color w:val="5C6678"/>
          <w:sz w:val="21"/>
          <w:szCs w:val="21"/>
        </w:rPr>
        <w:t xml:space="preserve">The global keyboard command palette (Ctrl+K / ⌘K).</w:t>
      </w:r>
    </w:p>
    <w:p>
      <w:pPr>
        <w:pStyle w:val="ListParagraph"/>
        <w:numPr>
          <w:ilvl w:val="0"/>
          <w:numId w:val="3"/>
        </w:numPr>
        <w:spacing w:after="90"/>
      </w:pPr>
      <w:r>
        <w:rPr>
          <w:rFonts w:ascii="Calibri" w:cs="Calibri" w:eastAsia="Calibri" w:hAnsi="Calibri"/>
          <w:color w:val="5C6678"/>
          <w:sz w:val="21"/>
          <w:szCs w:val="21"/>
        </w:rPr>
        <w:t xml:space="preserve">The four LabOS subscription plans and what each limits in practice: centres, staff seats, and monthly patient volume.</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Setting up two-factor authentication correctly</w:t>
      </w:r>
    </w:p>
    <w:p>
      <w:pPr>
        <w:spacing w:after="160"/>
      </w:pPr>
      <w:r>
        <w:rPr>
          <w:rFonts w:ascii="Calibri" w:cs="Calibri" w:eastAsia="Calibri" w:hAnsi="Calibri"/>
          <w:color w:val="5C6678"/>
          <w:sz w:val="21"/>
          <w:szCs w:val="21"/>
        </w:rPr>
        <w:t xml:space="preserve">LabOS supports three 2FA methods, and the choice between them matters more than it first appears:</w:t>
      </w:r>
    </w:p>
    <w:p>
      <w:pPr>
        <w:pStyle w:val="ListParagraph"/>
        <w:numPr>
          <w:ilvl w:val="0"/>
          <w:numId w:val="3"/>
        </w:numPr>
        <w:spacing w:after="90"/>
      </w:pPr>
      <w:r>
        <w:rPr>
          <w:rFonts w:ascii="Calibri" w:cs="Calibri" w:eastAsia="Calibri" w:hAnsi="Calibri"/>
          <w:b/>
          <w:bCs/>
          <w:color w:val="0E1F33"/>
          <w:sz w:val="21"/>
          <w:szCs w:val="21"/>
        </w:rPr>
        <w:t xml:space="preserve">Authenticator app (recommended) —</w:t>
      </w:r>
      <w:r>
        <w:rPr>
          <w:rFonts w:ascii="Calibri" w:cs="Calibri" w:eastAsia="Calibri" w:hAnsi="Calibri"/>
          <w:color w:val="5C6678"/>
          <w:sz w:val="21"/>
          <w:szCs w:val="21"/>
        </w:rPr>
        <w:t xml:space="preserve"> Google Authenticator, Authy, or 1Password. Works offline, isn't dependent on phone network signal, and is the most resilient option for laboratory staff who may be in basement sample-processing areas with poor signal.</w:t>
      </w:r>
    </w:p>
    <w:p>
      <w:pPr>
        <w:pStyle w:val="ListParagraph"/>
        <w:numPr>
          <w:ilvl w:val="0"/>
          <w:numId w:val="3"/>
        </w:numPr>
        <w:spacing w:after="90"/>
      </w:pPr>
      <w:r>
        <w:rPr>
          <w:rFonts w:ascii="Calibri" w:cs="Calibri" w:eastAsia="Calibri" w:hAnsi="Calibri"/>
          <w:b/>
          <w:bCs/>
          <w:color w:val="0E1F33"/>
          <w:sz w:val="21"/>
          <w:szCs w:val="21"/>
        </w:rPr>
        <w:t xml:space="preserve">SMS to a Nigerian number (fallback) —</w:t>
      </w:r>
      <w:r>
        <w:rPr>
          <w:rFonts w:ascii="Calibri" w:cs="Calibri" w:eastAsia="Calibri" w:hAnsi="Calibri"/>
          <w:color w:val="5C6678"/>
          <w:sz w:val="21"/>
          <w:szCs w:val="21"/>
        </w:rPr>
        <w:t xml:space="preserve"> requires the Termii integration to be active, and fails exactly when you may need it most — during a network outage or while travelling.</w:t>
      </w:r>
    </w:p>
    <w:p>
      <w:pPr>
        <w:pStyle w:val="ListParagraph"/>
        <w:numPr>
          <w:ilvl w:val="0"/>
          <w:numId w:val="3"/>
        </w:numPr>
        <w:spacing w:after="90"/>
      </w:pPr>
      <w:r>
        <w:rPr>
          <w:rFonts w:ascii="Calibri" w:cs="Calibri" w:eastAsia="Calibri" w:hAnsi="Calibri"/>
          <w:b/>
          <w:bCs/>
          <w:color w:val="0E1F33"/>
          <w:sz w:val="21"/>
          <w:szCs w:val="21"/>
        </w:rPr>
        <w:t xml:space="preserve">Hardware key (FIDO2/WebAuthn) —</w:t>
      </w:r>
      <w:r>
        <w:rPr>
          <w:rFonts w:ascii="Calibri" w:cs="Calibri" w:eastAsia="Calibri" w:hAnsi="Calibri"/>
          <w:color w:val="5C6678"/>
          <w:sz w:val="21"/>
          <w:szCs w:val="21"/>
        </w:rPr>
        <w:t xml:space="preserve"> available on Enterprise plans; the strongest option, appropriate for lab directors and tenant administrators handling the most sensitive actions.</w:t>
      </w:r>
    </w:p>
    <w:p>
      <w:pPr>
        <w:spacing w:after="160"/>
      </w:pPr>
      <w:r>
        <w:rPr>
          <w:rFonts w:ascii="Calibri" w:cs="Calibri" w:eastAsia="Calibri" w:hAnsi="Calibri"/>
          <w:color w:val="5C6678"/>
          <w:sz w:val="21"/>
          <w:szCs w:val="21"/>
        </w:rPr>
        <w:t xml:space="preserve">Setup itself is short: open your name menu in the bottom-left of the sidebar, choose Security &amp; sign-in, tap Set up 2FA, scan the QR code, and confirm with the 6-digit code. The step almost everyone skips — and shouldn't — is saving the 10 recovery codes somewhere safe outside LabOS itself. Once 2FA is enabled, you cannot disable it without already having it; lose both your device and your recovery codes, and only an administrator can reset your account. For a tenant administrator specifically, that means: if you are the only administrator and you lose both factors, no one inside the organisation can recover your account — plan for at least two administrator-level accounts for exactly this reason.</w:t>
      </w:r>
    </w:p>
    <w:p>
      <w:pPr>
        <w:spacing w:after="100" w:before="220"/>
      </w:pPr>
      <w:r>
        <w:rPr>
          <w:rFonts w:ascii="Calibri" w:cs="Calibri" w:eastAsia="Calibri" w:hAnsi="Calibri"/>
          <w:b/>
          <w:bCs/>
          <w:color w:val="0E1F33"/>
          <w:sz w:val="20"/>
          <w:szCs w:val="20"/>
        </w:rPr>
        <w:t xml:space="preserve">Searching the catalogue like an expert, not a beginner</w:t>
      </w:r>
    </w:p>
    <w:p>
      <w:pPr>
        <w:spacing w:after="160"/>
      </w:pPr>
      <w:r>
        <w:rPr>
          <w:rFonts w:ascii="Calibri" w:cs="Calibri" w:eastAsia="Calibri" w:hAnsi="Calibri"/>
          <w:color w:val="5C6678"/>
          <w:sz w:val="21"/>
          <w:szCs w:val="21"/>
        </w:rPr>
        <w:t xml:space="preserve">New users tend to search the way they would search Google — typing a full phrase and hoping. LabOS's catalogue search is faster than that if you know what it actually indexes. You can search by test code (FBC, BRCA, HBA), full test name (full blood count), category (hematology, microbiology), or — critically — patient-friendly aliases. Typing "sickle cell" correctly surfaces Haemoglobin Electrophoresis even though that phrase appears nowhere in the official test name; typing "sugar" surfaces FBS, RBS, HbA1c, and OGTT together. This alias layer exists because front-desk staff are often relaying what a patient or referring clinician said in plain language, not the formal laboratory term.</w:t>
      </w:r>
    </w:p>
    <w:p>
      <w:pPr>
        <w:spacing w:after="160"/>
      </w:pPr>
      <w:r>
        <w:rPr>
          <w:rFonts w:ascii="Calibri" w:cs="Calibri" w:eastAsia="Calibri" w:hAnsi="Calibri"/>
          <w:color w:val="5C6678"/>
          <w:sz w:val="21"/>
          <w:szCs w:val="21"/>
        </w:rPr>
        <w:t xml:space="preserve">Faster still is the command palette: press Ctrl+K (⌘K on Mac) from anywhere in LabOS, or just press / when you're not already typing in a field. It searches pages, patients, requests, imaging orders, and the full catalogue from a single box — administrators who build this into muscle memory in week one measure meaningfully faster daily navigation than those who rely on mouse-driven menus indefinitely.</w:t>
      </w:r>
    </w:p>
    <w:p>
      <w:pPr>
        <w:spacing w:after="100" w:before="220"/>
      </w:pPr>
      <w:r>
        <w:rPr>
          <w:rFonts w:ascii="Calibri" w:cs="Calibri" w:eastAsia="Calibri" w:hAnsi="Calibri"/>
          <w:b/>
          <w:bCs/>
          <w:color w:val="0E1F33"/>
          <w:sz w:val="20"/>
          <w:szCs w:val="20"/>
        </w:rPr>
        <w:t xml:space="preserve">Understanding your plan as an operational constraint</w:t>
      </w:r>
    </w:p>
    <w:p>
      <w:pPr>
        <w:spacing w:after="160"/>
      </w:pPr>
      <w:r>
        <w:rPr>
          <w:rFonts w:ascii="Calibri" w:cs="Calibri" w:eastAsia="Calibri" w:hAnsi="Calibri"/>
          <w:color w:val="5C6678"/>
          <w:sz w:val="21"/>
          <w:szCs w:val="21"/>
        </w:rPr>
        <w:t xml:space="preserve">LabOS has four plans — CoreCare, Standard, Professional, and Enterprise — and each sets real limits on centres, staff seats, and monthly patient volume, not just a price tag. CoreCare supports a single centre, 10 staff accounts, and 1,500 patients per month; Standard extends to 3 centres, 25 staff, and 5,000 patients; Professional (the most commonly adopted tier) supports 10 centres, 60 staff, and 20,000 patients monthly. A tenant administrator's job includes actively watching these numbers — not as a billing exercise, but because hitting a staff-seat limit while trying to onboard a new hire mid-shift, or a patient-volume limit during a busy clinic day, is an entirely avoidable operational failure if it's monitored proactively.</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Set up 2FA with an authenticator app as your very first action after receiving LabOS credentials — before registering a single patient.</w:t>
      </w:r>
    </w:p>
    <w:p>
      <w:pPr>
        <w:pStyle w:val="ListParagraph"/>
        <w:numPr>
          <w:ilvl w:val="0"/>
          <w:numId w:val="3"/>
        </w:numPr>
        <w:spacing w:after="90"/>
      </w:pPr>
      <w:r>
        <w:rPr>
          <w:rFonts w:ascii="Calibri" w:cs="Calibri" w:eastAsia="Calibri" w:hAnsi="Calibri"/>
          <w:color w:val="5C6678"/>
          <w:sz w:val="21"/>
          <w:szCs w:val="21"/>
        </w:rPr>
        <w:t xml:space="preserve">As a tenant administrator, designate at least one backup administrator-level account specifically so a 2FA lockout never becomes an organisation-wide outage.</w:t>
      </w:r>
    </w:p>
    <w:p>
      <w:pPr>
        <w:pStyle w:val="ListParagraph"/>
        <w:numPr>
          <w:ilvl w:val="0"/>
          <w:numId w:val="3"/>
        </w:numPr>
        <w:spacing w:after="90"/>
      </w:pPr>
      <w:r>
        <w:rPr>
          <w:rFonts w:ascii="Calibri" w:cs="Calibri" w:eastAsia="Calibri" w:hAnsi="Calibri"/>
          <w:color w:val="5C6678"/>
          <w:sz w:val="21"/>
          <w:szCs w:val="21"/>
        </w:rPr>
        <w:t xml:space="preserve">Practice alias-based searches deliberately during onboarding — search "sugar," "sickle cell," and two or three other patient-language terms relevant to your laboratory's common tests, so the muscle memory exists before a busy shift demands it.</w:t>
      </w:r>
    </w:p>
    <w:p>
      <w:pPr>
        <w:pStyle w:val="ListParagraph"/>
        <w:numPr>
          <w:ilvl w:val="0"/>
          <w:numId w:val="3"/>
        </w:numPr>
        <w:spacing w:after="90"/>
      </w:pPr>
      <w:r>
        <w:rPr>
          <w:rFonts w:ascii="Calibri" w:cs="Calibri" w:eastAsia="Calibri" w:hAnsi="Calibri"/>
          <w:color w:val="5C6678"/>
          <w:sz w:val="21"/>
          <w:szCs w:val="21"/>
        </w:rPr>
        <w:t xml:space="preserve">Check your plan's centre/staff/patient limits against your laboratory's actual or projected growth at least quarterly, not only when a limit is hit.</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Choosing SMS 2FA purely for initial convenience, without registering recovery codes — this becomes a real problem the first time the staff member travels or experiences a network outage.</w:t>
      </w:r>
    </w:p>
    <w:p>
      <w:pPr>
        <w:pStyle w:val="ListParagraph"/>
        <w:numPr>
          <w:ilvl w:val="0"/>
          <w:numId w:val="3"/>
        </w:numPr>
        <w:spacing w:after="90"/>
      </w:pPr>
      <w:r>
        <w:rPr>
          <w:rFonts w:ascii="Calibri" w:cs="Calibri" w:eastAsia="Calibri" w:hAnsi="Calibri"/>
          <w:color w:val="5C6678"/>
          <w:sz w:val="21"/>
          <w:szCs w:val="21"/>
        </w:rPr>
        <w:t xml:space="preserve">Typing only formal clinical terminology into search and assuming a test "isn't in the system" when an alias search would have found it instantly.</w:t>
      </w:r>
    </w:p>
    <w:p>
      <w:pPr>
        <w:pStyle w:val="ListParagraph"/>
        <w:numPr>
          <w:ilvl w:val="0"/>
          <w:numId w:val="3"/>
        </w:numPr>
        <w:spacing w:after="90"/>
      </w:pPr>
      <w:r>
        <w:rPr>
          <w:rFonts w:ascii="Calibri" w:cs="Calibri" w:eastAsia="Calibri" w:hAnsi="Calibri"/>
          <w:color w:val="5C6678"/>
          <w:sz w:val="21"/>
          <w:szCs w:val="21"/>
        </w:rPr>
        <w:t xml:space="preserve">Tenant administrators discovering a plan limit reactively — for example, attempting to add an 11th staff account on CoreCare — rather than monitoring proactively.</w:t>
      </w:r>
    </w:p>
    <w:p>
      <w:pPr>
        <w:pStyle w:val="ListParagraph"/>
        <w:numPr>
          <w:ilvl w:val="0"/>
          <w:numId w:val="3"/>
        </w:numPr>
        <w:spacing w:after="90"/>
      </w:pPr>
      <w:r>
        <w:rPr>
          <w:rFonts w:ascii="Calibri" w:cs="Calibri" w:eastAsia="Calibri" w:hAnsi="Calibri"/>
          <w:color w:val="5C6678"/>
          <w:sz w:val="21"/>
          <w:szCs w:val="21"/>
        </w:rPr>
        <w:t xml:space="preserve">A single-administrator tenant with no backup admin account, creating an avoidable single point of failure for the entire organisation's access.</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1.2 — SEARCH SPEED DRILL</w:t>
            </w:r>
          </w:p>
          <w:p>
            <w:r>
              <w:rPr>
                <w:rFonts w:ascii="Calibri" w:cs="Calibri" w:eastAsia="Calibri" w:hAnsi="Calibri"/>
                <w:i/>
                <w:iCs/>
                <w:color w:val="0E1F33"/>
                <w:sz w:val="21"/>
                <w:szCs w:val="21"/>
              </w:rPr>
              <w:t xml:space="preserve">In a sandbox LabOS account, time yourself finding the following five items using only the command palette (Ctrl+K / ⌘K): (1) a test using a patient-language alias of your choosing, e.g. "sugar" or "sickle cell"; (2) a specific test by its code only; (3) the Staff &amp; Roles administration page; (4) a specific patient by partial name; (5) the Billing section. Record your total time. Then repeat the same five searches using only sidebar navigation and the dashboard search box, and compare the two times. Most learners find the command-palette pass is more than twice as fast — write one sentence on what that time difference would mean across a full working day.</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is SMS-based 2FA described as a "fallback" rather than a recommended default?</w:t>
      </w:r>
    </w:p>
    <w:p>
      <w:pPr>
        <w:spacing w:after="60"/>
      </w:pPr>
      <w:r>
        <w:rPr>
          <w:rFonts w:ascii="Calibri" w:cs="Calibri" w:eastAsia="Calibri" w:hAnsi="Calibri"/>
          <w:color w:val="5C6678"/>
          <w:sz w:val="20"/>
          <w:szCs w:val="20"/>
        </w:rPr>
        <w:t xml:space="preserve">Because it depends on active phone network signal and the Termii integration being available — exactly the conditions most likely to fail during a network outage or while travelling, which is precisely when account access may be needed most.</w:t>
      </w:r>
    </w:p>
    <w:p>
      <w:pPr>
        <w:spacing w:after="50" w:before="140"/>
      </w:pPr>
      <w:r>
        <w:rPr>
          <w:rFonts w:ascii="Calibri" w:cs="Calibri" w:eastAsia="Calibri" w:hAnsi="Calibri"/>
          <w:b/>
          <w:bCs/>
          <w:color w:val="0E1F33"/>
          <w:sz w:val="21"/>
          <w:szCs w:val="21"/>
        </w:rPr>
        <w:t xml:space="preserve">2. A front-desk officer says "sickle cell test" isn't in LabOS's catalogue. What should they try before concluding the test is genuinely unavailable?</w:t>
      </w:r>
    </w:p>
    <w:p>
      <w:pPr>
        <w:spacing w:after="60"/>
      </w:pPr>
      <w:r>
        <w:rPr>
          <w:rFonts w:ascii="Calibri" w:cs="Calibri" w:eastAsia="Calibri" w:hAnsi="Calibri"/>
          <w:color w:val="5C6678"/>
          <w:sz w:val="20"/>
          <w:szCs w:val="20"/>
        </w:rPr>
        <w:t xml:space="preserve">Search using the exact alias they used in conversation ("sickle cell") rather than assuming the formal name is required — LabOS's alias layer is built precisely to catch patient-language phrasing like this, and it should correctly surface Haemoglobin Electrophoresis.</w:t>
      </w:r>
    </w:p>
    <w:p>
      <w:pPr>
        <w:spacing w:after="50" w:before="140"/>
      </w:pPr>
      <w:r>
        <w:rPr>
          <w:rFonts w:ascii="Calibri" w:cs="Calibri" w:eastAsia="Calibri" w:hAnsi="Calibri"/>
          <w:b/>
          <w:bCs/>
          <w:color w:val="0E1F33"/>
          <w:sz w:val="21"/>
          <w:szCs w:val="21"/>
        </w:rPr>
        <w:t xml:space="preserve">3. Your laboratory is on the CoreCare plan and growing toward a second physical branch next quarter. What should you do now, not later?</w:t>
      </w:r>
    </w:p>
    <w:p>
      <w:pPr>
        <w:spacing w:after="60"/>
      </w:pPr>
      <w:r>
        <w:rPr>
          <w:rFonts w:ascii="Calibri" w:cs="Calibri" w:eastAsia="Calibri" w:hAnsi="Calibri"/>
          <w:color w:val="5C6678"/>
          <w:sz w:val="20"/>
          <w:szCs w:val="20"/>
        </w:rPr>
        <w:t xml:space="preserve">Review CoreCare's single-centre limit against the expansion plan and budget for an upgrade (e.g., to Standard, which supports 3 centres) well before the second branch opens, rather than discovering the limit on opening day.</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"Securing Your Account and Finding Anything Fast" — CLA Module 1,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set up 2FA correctly, perform an alias-based catalogue search, use the command palette, and state their own plan's operational limits.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8–10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live on-screen timer for the search-speed demonstration</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(0:00–0:40) — "What happens if you lose access to your own laboratory's data?"</w:t>
      </w:r>
    </w:p>
    <w:p>
      <w:pPr>
        <w:pStyle w:val="ListParagraph"/>
        <w:numPr>
          <w:ilvl w:val="0"/>
          <w:numId w:val="6"/>
        </w:numPr>
        <w:spacing w:after="90"/>
      </w:pPr>
      <w:r>
        <w:rPr>
          <w:rFonts w:ascii="Calibri" w:cs="Calibri" w:eastAsia="Calibri" w:hAnsi="Calibri"/>
          <w:color w:val="5C6678"/>
          <w:sz w:val="21"/>
          <w:szCs w:val="21"/>
        </w:rPr>
        <w:t xml:space="preserve">2FA setup, live demo (0:40–3:30) — full walkthrough including saving recovery codes on screen.</w:t>
      </w:r>
    </w:p>
    <w:p>
      <w:pPr>
        <w:pStyle w:val="ListParagraph"/>
        <w:numPr>
          <w:ilvl w:val="0"/>
          <w:numId w:val="6"/>
        </w:numPr>
        <w:spacing w:after="90"/>
      </w:pPr>
      <w:r>
        <w:rPr>
          <w:rFonts w:ascii="Calibri" w:cs="Calibri" w:eastAsia="Calibri" w:hAnsi="Calibri"/>
          <w:color w:val="5C6678"/>
          <w:sz w:val="21"/>
          <w:szCs w:val="21"/>
        </w:rPr>
        <w:t xml:space="preserve">Why authenticator app over SMS (3:30–4:30) — direct comparison, presenter to camera.</w:t>
      </w:r>
    </w:p>
    <w:p>
      <w:pPr>
        <w:pStyle w:val="ListParagraph"/>
        <w:numPr>
          <w:ilvl w:val="0"/>
          <w:numId w:val="6"/>
        </w:numPr>
        <w:spacing w:after="90"/>
      </w:pPr>
      <w:r>
        <w:rPr>
          <w:rFonts w:ascii="Calibri" w:cs="Calibri" w:eastAsia="Calibri" w:hAnsi="Calibri"/>
          <w:color w:val="5C6678"/>
          <w:sz w:val="21"/>
          <w:szCs w:val="21"/>
        </w:rPr>
        <w:t xml:space="preserve">Catalogue search demo: formal term vs. alias side-by-side (4:30–6:30).</w:t>
      </w:r>
    </w:p>
    <w:p>
      <w:pPr>
        <w:pStyle w:val="ListParagraph"/>
        <w:numPr>
          <w:ilvl w:val="0"/>
          <w:numId w:val="6"/>
        </w:numPr>
        <w:spacing w:after="90"/>
      </w:pPr>
      <w:r>
        <w:rPr>
          <w:rFonts w:ascii="Calibri" w:cs="Calibri" w:eastAsia="Calibri" w:hAnsi="Calibri"/>
          <w:color w:val="5C6678"/>
          <w:sz w:val="21"/>
          <w:szCs w:val="21"/>
        </w:rPr>
        <w:t xml:space="preserve">Command palette live speed demo (6:30–8:30) — literally timed on screen against mouse navigation.</w:t>
      </w:r>
    </w:p>
    <w:p>
      <w:pPr>
        <w:pStyle w:val="ListParagraph"/>
        <w:numPr>
          <w:ilvl w:val="0"/>
          <w:numId w:val="6"/>
        </w:numPr>
        <w:spacing w:after="90"/>
      </w:pPr>
      <w:r>
        <w:rPr>
          <w:rFonts w:ascii="Calibri" w:cs="Calibri" w:eastAsia="Calibri" w:hAnsi="Calibri"/>
          <w:color w:val="5C6678"/>
          <w:sz w:val="21"/>
          <w:szCs w:val="21"/>
        </w:rPr>
        <w:t xml:space="preserve">Plans &amp; entitlements quick-reference (8:30–9:30) — simple on-screen table of the four plans.</w:t>
      </w:r>
    </w:p>
    <w:p>
      <w:pPr>
        <w:pStyle w:val="ListParagraph"/>
        <w:numPr>
          <w:ilvl w:val="0"/>
          <w:numId w:val="6"/>
        </w:numPr>
        <w:spacing w:after="90"/>
      </w:pPr>
      <w:r>
        <w:rPr>
          <w:rFonts w:ascii="Calibri" w:cs="Calibri" w:eastAsia="Calibri" w:hAnsi="Calibri"/>
          <w:color w:val="5C6678"/>
          <w:sz w:val="21"/>
          <w:szCs w:val="21"/>
        </w:rPr>
        <w:t xml:space="preserve">Close + transition to Lesson 1.3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setting up 2FA on screen, say explicitly: "I'm going to do the part everyone skips" before saving the recovery codes — naming the skip-risk out loud increases the odds the learner does it too.</w:t>
      </w:r>
    </w:p>
    <w:p>
      <w:pPr>
        <w:pStyle w:val="ListParagraph"/>
        <w:numPr>
          <w:ilvl w:val="0"/>
          <w:numId w:val="3"/>
        </w:numPr>
        <w:spacing w:after="90"/>
      </w:pPr>
      <w:r>
        <w:rPr>
          <w:rFonts w:ascii="Calibri" w:cs="Calibri" w:eastAsia="Calibri" w:hAnsi="Calibri"/>
          <w:color w:val="5C6678"/>
          <w:sz w:val="21"/>
          <w:szCs w:val="21"/>
        </w:rPr>
        <w:t xml:space="preserve">For the alias search demo, deliberately search the formal term first and show it also works, then show the alias — this proves the alias isn't a workaround, it's a parallel, equally valid path.</w:t>
      </w:r>
    </w:p>
    <w:p>
      <w:pPr>
        <w:pStyle w:val="ListParagraph"/>
        <w:numPr>
          <w:ilvl w:val="0"/>
          <w:numId w:val="3"/>
        </w:numPr>
        <w:spacing w:after="90"/>
      </w:pPr>
      <w:r>
        <w:rPr>
          <w:rFonts w:ascii="Calibri" w:cs="Calibri" w:eastAsia="Calibri" w:hAnsi="Calibri"/>
          <w:color w:val="5C6678"/>
          <w:sz w:val="21"/>
          <w:szCs w:val="21"/>
        </w:rPr>
        <w:t xml:space="preserve">During the timed command-palette demo, react genuinely ("see how much faster that was") rather than scripting a flat delivery — the comparison is more persuasive when the presenter's reaction feels real.</w:t>
      </w:r>
    </w:p>
    <w:p>
      <w:pPr>
        <w:pStyle w:val="ListParagraph"/>
        <w:numPr>
          <w:ilvl w:val="0"/>
          <w:numId w:val="3"/>
        </w:numPr>
        <w:spacing w:after="90"/>
      </w:pPr>
      <w:r>
        <w:rPr>
          <w:rFonts w:ascii="Calibri" w:cs="Calibri" w:eastAsia="Calibri" w:hAnsi="Calibri"/>
          <w:color w:val="5C6678"/>
          <w:sz w:val="21"/>
          <w:szCs w:val="21"/>
        </w:rPr>
        <w:t xml:space="preserve">When covering plans, frame it as "this is what your plan actually means for a Tuesday morning rush," not as a sales/pricing conversation.</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Open Security &amp; sign-in from the name menu, click Set up 2FA, show the QR code (use a placeholder/demo code, not a real production secret).</w:t>
      </w:r>
    </w:p>
    <w:p>
      <w:pPr>
        <w:pStyle w:val="ListParagraph"/>
        <w:numPr>
          <w:ilvl w:val="0"/>
          <w:numId w:val="7"/>
        </w:numPr>
        <w:spacing w:after="90"/>
      </w:pPr>
      <w:r>
        <w:rPr>
          <w:rFonts w:ascii="Calibri" w:cs="Calibri" w:eastAsia="Calibri" w:hAnsi="Calibri"/>
          <w:color w:val="5C6678"/>
          <w:sz w:val="21"/>
          <w:szCs w:val="21"/>
        </w:rPr>
        <w:t xml:space="preserve">Show entering the 6-digit confirmation code, then the recovery-codes screen — pause and narrate saving them.</w:t>
      </w:r>
    </w:p>
    <w:p>
      <w:pPr>
        <w:pStyle w:val="ListParagraph"/>
        <w:numPr>
          <w:ilvl w:val="0"/>
          <w:numId w:val="7"/>
        </w:numPr>
        <w:spacing w:after="90"/>
      </w:pPr>
      <w:r>
        <w:rPr>
          <w:rFonts w:ascii="Calibri" w:cs="Calibri" w:eastAsia="Calibri" w:hAnsi="Calibri"/>
          <w:color w:val="5C6678"/>
          <w:sz w:val="21"/>
          <w:szCs w:val="21"/>
        </w:rPr>
        <w:t xml:space="preserve">On the Dashboard, type a formal test name into search, show results, clear it, type the matching alias, show the same result appears.</w:t>
      </w:r>
    </w:p>
    <w:p>
      <w:pPr>
        <w:pStyle w:val="ListParagraph"/>
        <w:numPr>
          <w:ilvl w:val="0"/>
          <w:numId w:val="7"/>
        </w:numPr>
        <w:spacing w:after="90"/>
      </w:pPr>
      <w:r>
        <w:rPr>
          <w:rFonts w:ascii="Calibri" w:cs="Calibri" w:eastAsia="Calibri" w:hAnsi="Calibri"/>
          <w:color w:val="5C6678"/>
          <w:sz w:val="21"/>
          <w:szCs w:val="21"/>
        </w:rPr>
        <w:t xml:space="preserve">Press Ctrl+K, demonstrate searching a patient, a page, and a test from the same box, with a visible on-screen stopwatch overlay.</w:t>
      </w:r>
    </w:p>
    <w:p>
      <w:pPr>
        <w:pStyle w:val="ListParagraph"/>
        <w:numPr>
          <w:ilvl w:val="0"/>
          <w:numId w:val="7"/>
        </w:numPr>
        <w:spacing w:after="90"/>
      </w:pPr>
      <w:r>
        <w:rPr>
          <w:rFonts w:ascii="Calibri" w:cs="Calibri" w:eastAsia="Calibri" w:hAnsi="Calibri"/>
          <w:color w:val="5C6678"/>
          <w:sz w:val="21"/>
          <w:szCs w:val="21"/>
        </w:rPr>
        <w:t xml:space="preserve">Cut to a simple four-row table graphic for the plans (CoreCare / Standard / Professional / Enterprise) with centres / staff / patients-per-month columns.</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Authenticator app first, SMS only as fallback — and always save your recovery codes outside LabOS.</w:t>
      </w:r>
    </w:p>
    <w:p>
      <w:pPr>
        <w:pStyle w:val="ListParagraph"/>
        <w:numPr>
          <w:ilvl w:val="0"/>
          <w:numId w:val="3"/>
        </w:numPr>
        <w:spacing w:after="90"/>
      </w:pPr>
      <w:r>
        <w:rPr>
          <w:rFonts w:ascii="Calibri" w:cs="Calibri" w:eastAsia="Calibri" w:hAnsi="Calibri"/>
          <w:color w:val="5C6678"/>
          <w:sz w:val="21"/>
          <w:szCs w:val="21"/>
        </w:rPr>
        <w:t xml:space="preserve">Search in plain language — the alias layer is built for exactly that.</w:t>
      </w:r>
    </w:p>
    <w:p>
      <w:pPr>
        <w:pStyle w:val="ListParagraph"/>
        <w:numPr>
          <w:ilvl w:val="0"/>
          <w:numId w:val="3"/>
        </w:numPr>
        <w:spacing w:after="90"/>
      </w:pPr>
      <w:r>
        <w:rPr>
          <w:rFonts w:ascii="Calibri" w:cs="Calibri" w:eastAsia="Calibri" w:hAnsi="Calibri"/>
          <w:color w:val="5C6678"/>
          <w:sz w:val="21"/>
          <w:szCs w:val="21"/>
        </w:rPr>
        <w:t xml:space="preserve">Ctrl+K / ⌘K from anywhere — fastest path to any page, patient, or test.</w:t>
      </w:r>
    </w:p>
    <w:p>
      <w:pPr>
        <w:pStyle w:val="ListParagraph"/>
        <w:numPr>
          <w:ilvl w:val="0"/>
          <w:numId w:val="3"/>
        </w:numPr>
        <w:spacing w:after="90"/>
      </w:pPr>
      <w:r>
        <w:rPr>
          <w:rFonts w:ascii="Calibri" w:cs="Calibri" w:eastAsia="Calibri" w:hAnsi="Calibri"/>
          <w:color w:val="5C6678"/>
          <w:sz w:val="21"/>
          <w:szCs w:val="21"/>
        </w:rPr>
        <w:t xml:space="preserve">Know your plan's real limits before you hit them, not after.</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On-screen split: "Authenticator App" vs. "SMS" with a simple green-check / amber-caution iconography, not red/wrong — SMS is valid as fallback, not forbidden.</w:t>
      </w:r>
    </w:p>
    <w:p>
      <w:pPr>
        <w:pStyle w:val="ListParagraph"/>
        <w:numPr>
          <w:ilvl w:val="0"/>
          <w:numId w:val="3"/>
        </w:numPr>
        <w:spacing w:after="90"/>
      </w:pPr>
      <w:r>
        <w:rPr>
          <w:rFonts w:ascii="Calibri" w:cs="Calibri" w:eastAsia="Calibri" w:hAnsi="Calibri"/>
          <w:color w:val="5C6678"/>
          <w:sz w:val="21"/>
          <w:szCs w:val="21"/>
        </w:rPr>
        <w:t xml:space="preserve">Side-by-side search results: formal term and alias term, same result highlighted in both.</w:t>
      </w:r>
    </w:p>
    <w:p>
      <w:pPr>
        <w:pStyle w:val="ListParagraph"/>
        <w:numPr>
          <w:ilvl w:val="0"/>
          <w:numId w:val="3"/>
        </w:numPr>
        <w:spacing w:after="90"/>
      </w:pPr>
      <w:r>
        <w:rPr>
          <w:rFonts w:ascii="Calibri" w:cs="Calibri" w:eastAsia="Calibri" w:hAnsi="Calibri"/>
          <w:color w:val="5C6678"/>
          <w:sz w:val="21"/>
          <w:szCs w:val="21"/>
        </w:rPr>
        <w:t xml:space="preserve">Visible stopwatch overlay during the command-palette timing demo.</w:t>
      </w:r>
    </w:p>
    <w:p>
      <w:pPr>
        <w:pStyle w:val="ListParagraph"/>
        <w:numPr>
          <w:ilvl w:val="0"/>
          <w:numId w:val="3"/>
        </w:numPr>
        <w:spacing w:after="90"/>
      </w:pPr>
      <w:r>
        <w:rPr>
          <w:rFonts w:ascii="Calibri" w:cs="Calibri" w:eastAsia="Calibri" w:hAnsi="Calibri"/>
          <w:color w:val="5C6678"/>
          <w:sz w:val="21"/>
          <w:szCs w:val="21"/>
        </w:rPr>
        <w:t xml:space="preserve">Four-plan comparison table as a clean on-screen graphic, matching AgoroX Academy's visual brand.</w:t>
      </w:r>
    </w:p>
    <w:p>
      <w:r>
        <w:br w:type="page"/>
      </w:r>
    </w:p>
    <w:p>
      <w:pPr>
        <w:spacing w:after="60"/>
      </w:pPr>
      <w:r>
        <w:rPr>
          <w:rFonts w:ascii="Calibri" w:cs="Calibri" w:eastAsia="Calibri" w:hAnsi="Calibri"/>
          <w:b/>
          <w:bCs/>
          <w:color w:val="A8552E"/>
          <w:spacing w:val="14"/>
          <w:sz w:val="17"/>
          <w:szCs w:val="17"/>
        </w:rPr>
        <w:t xml:space="preserve">LESSON 1.3</w:t>
      </w:r>
    </w:p>
    <w:p>
      <w:pPr>
        <w:pStyle w:val="Heading1"/>
      </w:pPr>
      <w:r>
        <w:rPr>
          <w:rFonts w:ascii="Calibri" w:cs="Calibri" w:eastAsia="Calibri" w:hAnsi="Calibri"/>
        </w:rPr>
        <w:t xml:space="preserve">Your First Day: Walking the Full Specimen Journey</w:t>
      </w:r>
    </w:p>
    <w:p>
      <w:pPr>
        <w:spacing w:after="200"/>
      </w:pPr>
      <w:r>
        <w:rPr>
          <w:rFonts w:ascii="Calibri" w:cs="Calibri" w:eastAsia="Calibri" w:hAnsi="Calibri"/>
          <w:color w:val="5C6678"/>
          <w:sz w:val="23"/>
          <w:szCs w:val="23"/>
        </w:rPr>
        <w:t xml:space="preserve">Every individual feature taught so far comes together here, in the order a real laboratory actually uses them — followed by knowing exactly where to go when something doesn't work as expected.</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does something the previous two deliberately didn't: it walks one continuous story, start to finish — a single patient, a single test request, moving through registration, ordering, collection, results, and report release. Where Lessons 1.1 and 1.2 built understanding of individual pieces, this lesson is about seeing how those pieces connect into the actual rhythm of laboratory work, and closes with knowing exactly where to turn the first time something doesn't go as expected.</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The seven-stage workflow you're about to walk through is not an arbitrary sequence of screens — it mirrors decades of accepted clinical laboratory practice (the "total testing process"), broken into pre-analytical, analytical, and post-analytical phases that exist in some form in every accredited laboratory worldwide, paper-based or digital. Understanding this lesson as "how LabOS happens to be organised" undersells it. You are learning the structure of clinical laboratory work itself, with LabOS as the tool that enforces it correctly and traceably. This is exactly why this lesson — not a feature list — is the right way to close out Module 1: an administrator who has walked the full journey once, deliberately and slowly, will recognise every later module (sample management, results, billing) as a deeper zoom into one stage of this same story.</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Patient registration and the auto-generated hospital number format.</w:t>
      </w:r>
    </w:p>
    <w:p>
      <w:pPr>
        <w:pStyle w:val="ListParagraph"/>
        <w:numPr>
          <w:ilvl w:val="0"/>
          <w:numId w:val="3"/>
        </w:numPr>
        <w:spacing w:after="90"/>
      </w:pPr>
      <w:r>
        <w:rPr>
          <w:rFonts w:ascii="Calibri" w:cs="Calibri" w:eastAsia="Calibri" w:hAnsi="Calibri"/>
          <w:color w:val="5C6678"/>
          <w:sz w:val="21"/>
          <w:szCs w:val="21"/>
        </w:rPr>
        <w:t xml:space="preserve">Creating a test request from the catalogue, including common-panel chips.</w:t>
      </w:r>
    </w:p>
    <w:p>
      <w:pPr>
        <w:pStyle w:val="ListParagraph"/>
        <w:numPr>
          <w:ilvl w:val="0"/>
          <w:numId w:val="3"/>
        </w:numPr>
        <w:spacing w:after="90"/>
      </w:pPr>
      <w:r>
        <w:rPr>
          <w:rFonts w:ascii="Calibri" w:cs="Calibri" w:eastAsia="Calibri" w:hAnsi="Calibri"/>
          <w:color w:val="5C6678"/>
          <w:sz w:val="21"/>
          <w:szCs w:val="21"/>
        </w:rPr>
        <w:t xml:space="preserve">Sample collection and barcode-based chain of custody in Sample Tracking.</w:t>
      </w:r>
    </w:p>
    <w:p>
      <w:pPr>
        <w:pStyle w:val="ListParagraph"/>
        <w:numPr>
          <w:ilvl w:val="0"/>
          <w:numId w:val="3"/>
        </w:numPr>
        <w:spacing w:after="90"/>
      </w:pPr>
      <w:r>
        <w:rPr>
          <w:rFonts w:ascii="Calibri" w:cs="Calibri" w:eastAsia="Calibri" w:hAnsi="Calibri"/>
          <w:color w:val="5C6678"/>
          <w:sz w:val="21"/>
          <w:szCs w:val="21"/>
        </w:rPr>
        <w:t xml:space="preserve">Result entry and automatic High/Low/Critical flagging against reference ranges.</w:t>
      </w:r>
    </w:p>
    <w:p>
      <w:pPr>
        <w:pStyle w:val="ListParagraph"/>
        <w:numPr>
          <w:ilvl w:val="0"/>
          <w:numId w:val="3"/>
        </w:numPr>
        <w:spacing w:after="90"/>
      </w:pPr>
      <w:r>
        <w:rPr>
          <w:rFonts w:ascii="Calibri" w:cs="Calibri" w:eastAsia="Calibri" w:hAnsi="Calibri"/>
          <w:color w:val="5C6678"/>
          <w:sz w:val="21"/>
          <w:szCs w:val="21"/>
        </w:rPr>
        <w:t xml:space="preserve">Two-person validation for critical-callback tests.</w:t>
      </w:r>
    </w:p>
    <w:p>
      <w:pPr>
        <w:pStyle w:val="ListParagraph"/>
        <w:numPr>
          <w:ilvl w:val="0"/>
          <w:numId w:val="3"/>
        </w:numPr>
        <w:spacing w:after="90"/>
      </w:pPr>
      <w:r>
        <w:rPr>
          <w:rFonts w:ascii="Calibri" w:cs="Calibri" w:eastAsia="Calibri" w:hAnsi="Calibri"/>
          <w:color w:val="5C6678"/>
          <w:sz w:val="21"/>
          <w:szCs w:val="21"/>
        </w:rPr>
        <w:t xml:space="preserve">Report release, two-factor confirmation, and patient-facing delivery (PDF, email, WhatsApp).</w:t>
      </w:r>
    </w:p>
    <w:p>
      <w:pPr>
        <w:pStyle w:val="ListParagraph"/>
        <w:numPr>
          <w:ilvl w:val="0"/>
          <w:numId w:val="3"/>
        </w:numPr>
        <w:spacing w:after="90"/>
      </w:pPr>
      <w:r>
        <w:rPr>
          <w:rFonts w:ascii="Calibri" w:cs="Calibri" w:eastAsia="Calibri" w:hAnsi="Calibri"/>
          <w:color w:val="5C6678"/>
          <w:sz w:val="21"/>
          <w:szCs w:val="21"/>
        </w:rPr>
        <w:t xml:space="preserve">Support channels: in-app Help &amp; Documentation, WhatsApp live chat, email, phone, and ticketing — and which to use when.</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Stage 1 — Registering the patient</w:t>
      </w:r>
    </w:p>
    <w:p>
      <w:pPr>
        <w:spacing w:after="160"/>
      </w:pPr>
      <w:r>
        <w:rPr>
          <w:rFonts w:ascii="Calibri" w:cs="Calibri" w:eastAsia="Calibri" w:hAnsi="Calibri"/>
          <w:color w:val="5C6678"/>
          <w:sz w:val="21"/>
          <w:szCs w:val="21"/>
        </w:rPr>
        <w:t xml:space="preserve">From the sidebar, Patients → + Register patient. Required fields are name, date of birth, sex, and phone number. LabOS auto-generates the hospital number in the format PT-2026-NNNN — this is deliberate, not cosmetic: a consistent, system-generated identifier is what makes every later lookup, billing record, and report reliably traceable back to one real person, even across multiple visits over years. If the patient has NHIS or HMO coverage, capture the policy number at this stage rather than later — it materially speeds up the billing stage.</w:t>
      </w:r>
    </w:p>
    <w:p>
      <w:pPr>
        <w:spacing w:after="100" w:before="220"/>
      </w:pPr>
      <w:r>
        <w:rPr>
          <w:rFonts w:ascii="Calibri" w:cs="Calibri" w:eastAsia="Calibri" w:hAnsi="Calibri"/>
          <w:b/>
          <w:bCs/>
          <w:color w:val="0E1F33"/>
          <w:sz w:val="20"/>
          <w:szCs w:val="20"/>
        </w:rPr>
        <w:t xml:space="preserve">Stage 2 — Creating the test request</w:t>
      </w:r>
    </w:p>
    <w:p>
      <w:pPr>
        <w:spacing w:after="160"/>
      </w:pPr>
      <w:r>
        <w:rPr>
          <w:rFonts w:ascii="Calibri" w:cs="Calibri" w:eastAsia="Calibri" w:hAnsi="Calibri"/>
          <w:color w:val="5C6678"/>
          <w:sz w:val="21"/>
          <w:szCs w:val="21"/>
        </w:rPr>
        <w:t xml:space="preserve">+ New test request is available from any page — a deliberate design choice, since front-desk staff shouldn't need to navigate away from wherever they are to start a new order. Search the patient, select the requesting clinician and priority, then choose tests from a catalogue of 267 tests across 18 categories. Common-panels chips (Antenatal, Diabetes Workup, etc.) exist because a large proportion of real-world requests are standard panels, not single ad-hoc tests — one tap correctly selects every test in that panel instead of searching each individually. The system also tells phlebotomy which specimen tubes will be needed, before a single tube is drawn.</w:t>
      </w:r>
    </w:p>
    <w:p>
      <w:pPr>
        <w:spacing w:after="100" w:before="220"/>
      </w:pPr>
      <w:r>
        <w:rPr>
          <w:rFonts w:ascii="Calibri" w:cs="Calibri" w:eastAsia="Calibri" w:hAnsi="Calibri"/>
          <w:b/>
          <w:bCs/>
          <w:color w:val="0E1F33"/>
          <w:sz w:val="20"/>
          <w:szCs w:val="20"/>
        </w:rPr>
        <w:t xml:space="preserve">Stage 3 — Collecting the sample</w:t>
      </w:r>
    </w:p>
    <w:p>
      <w:pPr>
        <w:spacing w:after="160"/>
      </w:pPr>
      <w:r>
        <w:rPr>
          <w:rFonts w:ascii="Calibri" w:cs="Calibri" w:eastAsia="Calibri" w:hAnsi="Calibri"/>
          <w:color w:val="5C6678"/>
          <w:sz w:val="21"/>
          <w:szCs w:val="21"/>
        </w:rPr>
        <w:t xml:space="preserve">The request now appears in Sample Tracking. Phlebotomy scans the barcode on each tube and records the collection time, plus any condition notes — haemolysis, lipaemia, and similar pre-analytical issues that can affect result validity. This is the chain-of-custody record: it answers, definitively, who collected this sample and when, which matters both clinically and legally. Samples then route automatically to the correct processing bench.</w:t>
      </w:r>
    </w:p>
    <w:p>
      <w:pPr>
        <w:spacing w:after="100" w:before="220"/>
      </w:pPr>
      <w:r>
        <w:rPr>
          <w:rFonts w:ascii="Calibri" w:cs="Calibri" w:eastAsia="Calibri" w:hAnsi="Calibri"/>
          <w:b/>
          <w:bCs/>
          <w:color w:val="0E1F33"/>
          <w:sz w:val="20"/>
          <w:szCs w:val="20"/>
        </w:rPr>
        <w:t xml:space="preserve">Stage 4 — Entering results</w:t>
      </w:r>
    </w:p>
    <w:p>
      <w:pPr>
        <w:spacing w:after="160"/>
      </w:pPr>
      <w:r>
        <w:rPr>
          <w:rFonts w:ascii="Calibri" w:cs="Calibri" w:eastAsia="Calibri" w:hAnsi="Calibri"/>
          <w:color w:val="5C6678"/>
          <w:sz w:val="21"/>
          <w:szCs w:val="21"/>
        </w:rPr>
        <w:t xml:space="preserve">The assigned scientist enters numerical results in Results Management. LabOS automatically flags High (H), Low (L), and Critical (CRIT) values against reference ranges that are themselves age- and sex-specific — a flagging system that exists purely to make a dangerous value impossible to silently overlook. Tests defined as critical-callback — troponin, MTB/Rif, and paracetamol level are explicit examples already configured in LabOS — require two-person validation before they can proceed any further. This is not a software inconvenience; it is the digital equivalent of the second pair of eyes that has been clinical laboratory best practice for decades, now made mandatory rather than optional.</w:t>
      </w:r>
    </w:p>
    <w:p>
      <w:pPr>
        <w:spacing w:after="100" w:before="220"/>
      </w:pPr>
      <w:r>
        <w:rPr>
          <w:rFonts w:ascii="Calibri" w:cs="Calibri" w:eastAsia="Calibri" w:hAnsi="Calibri"/>
          <w:b/>
          <w:bCs/>
          <w:color w:val="0E1F33"/>
          <w:sz w:val="20"/>
          <w:szCs w:val="20"/>
        </w:rPr>
        <w:t xml:space="preserve">Stage 5 — Releasing the report</w:t>
      </w:r>
    </w:p>
    <w:p>
      <w:pPr>
        <w:spacing w:after="160"/>
      </w:pPr>
      <w:r>
        <w:rPr>
          <w:rFonts w:ascii="Calibri" w:cs="Calibri" w:eastAsia="Calibri" w:hAnsi="Calibri"/>
          <w:color w:val="5C6678"/>
          <w:sz w:val="21"/>
          <w:szCs w:val="21"/>
        </w:rPr>
        <w:t xml:space="preserve">The pathologist or lab director clicks Release report. A two-factor confirmation seals it — note the deliberate symmetry with the account-level 2FA from Lesson 1.2: the most consequential action in the entire workflow gets the same category of protection as the account itself. Once released, a watermarked PDF is generated and can be downloaded, emailed via SendGrid, or sent over WhatsApp directly to the patient or referring clinician. The patient's invoice simultaneously updates to Paid · Report ready — a single action that closes out both the clinical and financial sides of the encounter.</w:t>
      </w:r>
    </w:p>
    <w:p>
      <w:pPr>
        <w:spacing w:after="100" w:before="220"/>
      </w:pPr>
      <w:r>
        <w:rPr>
          <w:rFonts w:ascii="Calibri" w:cs="Calibri" w:eastAsia="Calibri" w:hAnsi="Calibri"/>
          <w:b/>
          <w:bCs/>
          <w:color w:val="0E1F33"/>
          <w:sz w:val="20"/>
          <w:szCs w:val="20"/>
        </w:rPr>
        <w:t xml:space="preserve">Knowing where to get help</w:t>
      </w:r>
    </w:p>
    <w:p>
      <w:pPr>
        <w:spacing w:after="160"/>
      </w:pPr>
      <w:r>
        <w:rPr>
          <w:rFonts w:ascii="Calibri" w:cs="Calibri" w:eastAsia="Calibri" w:hAnsi="Calibri"/>
          <w:color w:val="5C6678"/>
          <w:sz w:val="21"/>
          <w:szCs w:val="21"/>
        </w:rPr>
        <w:t xml:space="preserve">Four support channels exist, and choosing the right one for the situation matters: the in-app Help &amp; Documentation library (79 articles across 10 categories at last count, searchable by keyword) for self-service questions; WhatsApp live chat at +234 803 412 9684 for fast, conversational help during business hours (Mon–Fri, 8 AM–6 PM WAT, with a median first-response time around 4 minutes); email at support@agorox.africa for anything that doesn't need an instant reply, with an 8-hour response window; and a formal ticket via Help &amp; Documentation → New ticket for anything that needs to be tracked against a service-level commitment over time, such as a recurring or unresolved issue.</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Walk a complete dummy patient through all five visible stages in a sandbox environment before ever processing a real patient — reading about the workflow and performing it once are not the same competency.</w:t>
      </w:r>
    </w:p>
    <w:p>
      <w:pPr>
        <w:pStyle w:val="ListParagraph"/>
        <w:numPr>
          <w:ilvl w:val="0"/>
          <w:numId w:val="3"/>
        </w:numPr>
        <w:spacing w:after="90"/>
      </w:pPr>
      <w:r>
        <w:rPr>
          <w:rFonts w:ascii="Calibri" w:cs="Calibri" w:eastAsia="Calibri" w:hAnsi="Calibri"/>
          <w:color w:val="5C6678"/>
          <w:sz w:val="21"/>
          <w:szCs w:val="21"/>
        </w:rPr>
        <w:t xml:space="preserve">Capture NHIS/HMO policy numbers at registration, not later — this single habit measurably reduces billing-stage friction.</w:t>
      </w:r>
    </w:p>
    <w:p>
      <w:pPr>
        <w:pStyle w:val="ListParagraph"/>
        <w:numPr>
          <w:ilvl w:val="0"/>
          <w:numId w:val="3"/>
        </w:numPr>
        <w:spacing w:after="90"/>
      </w:pPr>
      <w:r>
        <w:rPr>
          <w:rFonts w:ascii="Calibri" w:cs="Calibri" w:eastAsia="Calibri" w:hAnsi="Calibri"/>
          <w:color w:val="5C6678"/>
          <w:sz w:val="21"/>
          <w:szCs w:val="21"/>
        </w:rPr>
        <w:t xml:space="preserve">Treat any Critical (CRIT) flag as requiring immediate attention regardless of how busy the queue is — the flagging system only protects patients if its alerts are actually honoured promptly.</w:t>
      </w:r>
    </w:p>
    <w:p>
      <w:pPr>
        <w:pStyle w:val="ListParagraph"/>
        <w:numPr>
          <w:ilvl w:val="0"/>
          <w:numId w:val="3"/>
        </w:numPr>
        <w:spacing w:after="90"/>
      </w:pPr>
      <w:r>
        <w:rPr>
          <w:rFonts w:ascii="Calibri" w:cs="Calibri" w:eastAsia="Calibri" w:hAnsi="Calibri"/>
          <w:color w:val="5C6678"/>
          <w:sz w:val="21"/>
          <w:szCs w:val="21"/>
        </w:rPr>
        <w:t xml:space="preserve">Match your support-channel choice to genuine urgency: WhatsApp for "I need this resolved in the next few minutes," a ticket for "this needs to be tracked and is not blocking me right now."</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Manually editing or "correcting" an auto-generated hospital number — this breaks the very lookup and duplicate-detection systems the format was designed to support.</w:t>
      </w:r>
    </w:p>
    <w:p>
      <w:pPr>
        <w:pStyle w:val="ListParagraph"/>
        <w:numPr>
          <w:ilvl w:val="0"/>
          <w:numId w:val="3"/>
        </w:numPr>
        <w:spacing w:after="90"/>
      </w:pPr>
      <w:r>
        <w:rPr>
          <w:rFonts w:ascii="Calibri" w:cs="Calibri" w:eastAsia="Calibri" w:hAnsi="Calibri"/>
          <w:color w:val="5C6678"/>
          <w:sz w:val="21"/>
          <w:szCs w:val="21"/>
        </w:rPr>
        <w:t xml:space="preserve">Searching for tests one at a time when a common-panel chip would have selected the full correct panel in a single tap, wasting time and risking an incomplete panel.</w:t>
      </w:r>
    </w:p>
    <w:p>
      <w:pPr>
        <w:pStyle w:val="ListParagraph"/>
        <w:numPr>
          <w:ilvl w:val="0"/>
          <w:numId w:val="3"/>
        </w:numPr>
        <w:spacing w:after="90"/>
      </w:pPr>
      <w:r>
        <w:rPr>
          <w:rFonts w:ascii="Calibri" w:cs="Calibri" w:eastAsia="Calibri" w:hAnsi="Calibri"/>
          <w:color w:val="5C6678"/>
          <w:sz w:val="21"/>
          <w:szCs w:val="21"/>
        </w:rPr>
        <w:t xml:space="preserve">Treating two-person validation on critical-callback tests as a bottleneck to route around rather than the safety mechanism it is.</w:t>
      </w:r>
    </w:p>
    <w:p>
      <w:pPr>
        <w:pStyle w:val="ListParagraph"/>
        <w:numPr>
          <w:ilvl w:val="0"/>
          <w:numId w:val="3"/>
        </w:numPr>
        <w:spacing w:after="90"/>
      </w:pPr>
      <w:r>
        <w:rPr>
          <w:rFonts w:ascii="Calibri" w:cs="Calibri" w:eastAsia="Calibri" w:hAnsi="Calibri"/>
          <w:color w:val="5C6678"/>
          <w:sz w:val="21"/>
          <w:szCs w:val="21"/>
        </w:rPr>
        <w:t xml:space="preserve">Defaulting to email for an urgent, time-sensitive issue when WhatsApp would get a response in minutes rather than hours.</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1.3 — THE COMPLETE JOURNEY</w:t>
            </w:r>
          </w:p>
          <w:p>
            <w:r>
              <w:rPr>
                <w:rFonts w:ascii="Calibri" w:cs="Calibri" w:eastAsia="Calibri" w:hAnsi="Calibri"/>
                <w:i/>
                <w:iCs/>
                <w:color w:val="0E1F33"/>
                <w:sz w:val="21"/>
                <w:szCs w:val="21"/>
              </w:rPr>
              <w:t xml:space="preserve">In a sandbox LabOS environment, register a new test patient from scratch, capturing a (fictional) NHIS policy number at registration. Create a test request using at least one common-panel chip. Move the request through Sample Tracking, recording a barcode scan and a collection-time note. Enter results for at least one test that would trigger a High or Low flag, and one that would trigger a Critical flag if your sandbox supports it — observe what additional step (two-person validation) the Critical result requires. Release the report. Finally, write a two-to-three sentence summary, in your own words, of which stage you found least intuitive and why — this will be discussed in the instructor-led session or submitted as part of self-paced completion.</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LabOS require two-person validation specifically for critical-callback tests like troponin, rather than for every test in the catalogue?</w:t>
      </w:r>
    </w:p>
    <w:p>
      <w:pPr>
        <w:spacing w:after="60"/>
      </w:pPr>
      <w:r>
        <w:rPr>
          <w:rFonts w:ascii="Calibri" w:cs="Calibri" w:eastAsia="Calibri" w:hAnsi="Calibri"/>
          <w:color w:val="5C6678"/>
          <w:sz w:val="20"/>
          <w:szCs w:val="20"/>
        </w:rPr>
        <w:t xml:space="preserve">Because critical-callback tests carry the highest risk of serious patient harm if a dangerously abnormal result is missed or mis-entered — the two-person check concentrates the extra safeguard where the clinical stakes are highest, rather than slowing down the entire workflow uniformly.</w:t>
      </w:r>
    </w:p>
    <w:p>
      <w:pPr>
        <w:spacing w:after="50" w:before="140"/>
      </w:pPr>
      <w:r>
        <w:rPr>
          <w:rFonts w:ascii="Calibri" w:cs="Calibri" w:eastAsia="Calibri" w:hAnsi="Calibri"/>
          <w:b/>
          <w:bCs/>
          <w:color w:val="0E1F33"/>
          <w:sz w:val="21"/>
          <w:szCs w:val="21"/>
        </w:rPr>
        <w:t xml:space="preserve">2. A referring clinician calls asking why a patient's report hasn't reached them yet, two hours after results were entered. What's the first thing to check?</w:t>
      </w:r>
    </w:p>
    <w:p>
      <w:pPr>
        <w:spacing w:after="60"/>
      </w:pPr>
      <w:r>
        <w:rPr>
          <w:rFonts w:ascii="Calibri" w:cs="Calibri" w:eastAsia="Calibri" w:hAnsi="Calibri"/>
          <w:color w:val="5C6678"/>
          <w:sz w:val="20"/>
          <w:szCs w:val="20"/>
        </w:rPr>
        <w:t xml:space="preserve">Whether the report has actually been released yet — entering results is not the same as releasing the report; release requires a separate, two-factor-confirmed action by a pathologist or lab director, and that step may simply not have happened yet.</w:t>
      </w:r>
    </w:p>
    <w:p>
      <w:pPr>
        <w:spacing w:after="50" w:before="140"/>
      </w:pPr>
      <w:r>
        <w:rPr>
          <w:rFonts w:ascii="Calibri" w:cs="Calibri" w:eastAsia="Calibri" w:hAnsi="Calibri"/>
          <w:b/>
          <w:bCs/>
          <w:color w:val="0E1F33"/>
          <w:sz w:val="21"/>
          <w:szCs w:val="21"/>
        </w:rPr>
        <w:t xml:space="preserve">3. You've found what looks like a software bug affecting only one centre's sample-tracking screen, and it isn't urgent — what's the most appropriate support channel, and why?</w:t>
      </w:r>
    </w:p>
    <w:p>
      <w:pPr>
        <w:spacing w:after="60"/>
      </w:pPr>
      <w:r>
        <w:rPr>
          <w:rFonts w:ascii="Calibri" w:cs="Calibri" w:eastAsia="Calibri" w:hAnsi="Calibri"/>
          <w:color w:val="5C6678"/>
          <w:sz w:val="20"/>
          <w:szCs w:val="20"/>
        </w:rPr>
        <w:t xml:space="preserve">A formal ticket via Help &amp; Documentation → New ticket — it isn't urgent enough to need WhatsApp's near-immediate response, but it needs to be tracked over time against a clear record, which a ticket provides and a one-off chat message does not.</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1.3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"Your First Day: Walking the Full Specimen Journey" — CLA Module 1,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narrate and perform the full registration-to-report-release workflow, and correctly choose a support channel for a given scenario.</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10–13 minutes (longest lesson video in the module — it carries the full workflow)</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Continuous screen recording following one patient end-to-end, presenter voiceover throughout; brief to-camera close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(0:00–0:45) — "By the end of this video, you'll have taken one patient all the way from the front door to a signed report."</w:t>
      </w:r>
    </w:p>
    <w:p>
      <w:pPr>
        <w:pStyle w:val="ListParagraph"/>
        <w:numPr>
          <w:ilvl w:val="0"/>
          <w:numId w:val="8"/>
        </w:numPr>
        <w:spacing w:after="90"/>
      </w:pPr>
      <w:r>
        <w:rPr>
          <w:rFonts w:ascii="Calibri" w:cs="Calibri" w:eastAsia="Calibri" w:hAnsi="Calibri"/>
          <w:color w:val="5C6678"/>
          <w:sz w:val="21"/>
          <w:szCs w:val="21"/>
        </w:rPr>
        <w:t xml:space="preserve">Why this sequence reflects real clinical lab practice, briefly, before the demo starts (0:45–1:45).</w:t>
      </w:r>
    </w:p>
    <w:p>
      <w:pPr>
        <w:pStyle w:val="ListParagraph"/>
        <w:numPr>
          <w:ilvl w:val="0"/>
          <w:numId w:val="8"/>
        </w:numPr>
        <w:spacing w:after="90"/>
      </w:pPr>
      <w:r>
        <w:rPr>
          <w:rFonts w:ascii="Calibri" w:cs="Calibri" w:eastAsia="Calibri" w:hAnsi="Calibri"/>
          <w:color w:val="5C6678"/>
          <w:sz w:val="21"/>
          <w:szCs w:val="21"/>
        </w:rPr>
        <w:t xml:space="preserve">Stage 1 — Patient registration, live demo (1:45–3:15).</w:t>
      </w:r>
    </w:p>
    <w:p>
      <w:pPr>
        <w:pStyle w:val="ListParagraph"/>
        <w:numPr>
          <w:ilvl w:val="0"/>
          <w:numId w:val="8"/>
        </w:numPr>
        <w:spacing w:after="90"/>
      </w:pPr>
      <w:r>
        <w:rPr>
          <w:rFonts w:ascii="Calibri" w:cs="Calibri" w:eastAsia="Calibri" w:hAnsi="Calibri"/>
          <w:color w:val="5C6678"/>
          <w:sz w:val="21"/>
          <w:szCs w:val="21"/>
        </w:rPr>
        <w:t xml:space="preserve">Stage 2 — Test request creation, including a common-panel chip (3:15–5:00).</w:t>
      </w:r>
    </w:p>
    <w:p>
      <w:pPr>
        <w:pStyle w:val="ListParagraph"/>
        <w:numPr>
          <w:ilvl w:val="0"/>
          <w:numId w:val="8"/>
        </w:numPr>
        <w:spacing w:after="90"/>
      </w:pPr>
      <w:r>
        <w:rPr>
          <w:rFonts w:ascii="Calibri" w:cs="Calibri" w:eastAsia="Calibri" w:hAnsi="Calibri"/>
          <w:color w:val="5C6678"/>
          <w:sz w:val="21"/>
          <w:szCs w:val="21"/>
        </w:rPr>
        <w:t xml:space="preserve">Stage 3 — Sample collection / barcode scan in Sample Tracking (5:00–6:30).</w:t>
      </w:r>
    </w:p>
    <w:p>
      <w:pPr>
        <w:pStyle w:val="ListParagraph"/>
        <w:numPr>
          <w:ilvl w:val="0"/>
          <w:numId w:val="8"/>
        </w:numPr>
        <w:spacing w:after="90"/>
      </w:pPr>
      <w:r>
        <w:rPr>
          <w:rFonts w:ascii="Calibri" w:cs="Calibri" w:eastAsia="Calibri" w:hAnsi="Calibri"/>
          <w:color w:val="5C6678"/>
          <w:sz w:val="21"/>
          <w:szCs w:val="21"/>
        </w:rPr>
        <w:t xml:space="preserve">Stage 4 — Result entry, showing a normal, a High/Low, and (if available) a Critical flag with two-person validation (6:30–9:00).</w:t>
      </w:r>
    </w:p>
    <w:p>
      <w:pPr>
        <w:pStyle w:val="ListParagraph"/>
        <w:numPr>
          <w:ilvl w:val="0"/>
          <w:numId w:val="8"/>
        </w:numPr>
        <w:spacing w:after="90"/>
      </w:pPr>
      <w:r>
        <w:rPr>
          <w:rFonts w:ascii="Calibri" w:cs="Calibri" w:eastAsia="Calibri" w:hAnsi="Calibri"/>
          <w:color w:val="5C6678"/>
          <w:sz w:val="21"/>
          <w:szCs w:val="21"/>
        </w:rPr>
        <w:t xml:space="preserve">Stage 5 — Report release with 2FA confirmation and delivery options (9:00–10:30).</w:t>
      </w:r>
    </w:p>
    <w:p>
      <w:pPr>
        <w:pStyle w:val="ListParagraph"/>
        <w:numPr>
          <w:ilvl w:val="0"/>
          <w:numId w:val="8"/>
        </w:numPr>
        <w:spacing w:after="90"/>
      </w:pPr>
      <w:r>
        <w:rPr>
          <w:rFonts w:ascii="Calibri" w:cs="Calibri" w:eastAsia="Calibri" w:hAnsi="Calibri"/>
          <w:color w:val="5C6678"/>
          <w:sz w:val="21"/>
          <w:szCs w:val="21"/>
        </w:rPr>
        <w:t xml:space="preserve">Support channels quick-reference (10:30–11:30).</w:t>
      </w:r>
    </w:p>
    <w:p>
      <w:pPr>
        <w:pStyle w:val="ListParagraph"/>
        <w:numPr>
          <w:ilvl w:val="0"/>
          <w:numId w:val="8"/>
        </w:numPr>
        <w:spacing w:after="90"/>
      </w:pPr>
      <w:r>
        <w:rPr>
          <w:rFonts w:ascii="Calibri" w:cs="Calibri" w:eastAsia="Calibri" w:hAnsi="Calibri"/>
          <w:color w:val="5C6678"/>
          <w:sz w:val="21"/>
          <w:szCs w:val="21"/>
        </w:rPr>
        <w:t xml:space="preserve">Close + module wrap-up, transition to Module 2 (11:30–end).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Use one consistent fictional patient name throughout the entire video (e.g., "Mrs. Adaeze Okonkwo") — a single continuous character makes the workflow feel like a real story rather than five disconnected demos.</w:t>
      </w:r>
    </w:p>
    <w:p>
      <w:pPr>
        <w:pStyle w:val="ListParagraph"/>
        <w:numPr>
          <w:ilvl w:val="0"/>
          <w:numId w:val="3"/>
        </w:numPr>
        <w:spacing w:after="90"/>
      </w:pPr>
      <w:r>
        <w:rPr>
          <w:rFonts w:ascii="Calibri" w:cs="Calibri" w:eastAsia="Calibri" w:hAnsi="Calibri"/>
          <w:color w:val="5C6678"/>
          <w:sz w:val="21"/>
          <w:szCs w:val="21"/>
        </w:rPr>
        <w:t xml:space="preserve">At the moment the Critical flag appears, slow down deliberately and say: "This is the moment the whole system was really built for — let's not rush this part."</w:t>
      </w:r>
    </w:p>
    <w:p>
      <w:pPr>
        <w:pStyle w:val="ListParagraph"/>
        <w:numPr>
          <w:ilvl w:val="0"/>
          <w:numId w:val="3"/>
        </w:numPr>
        <w:spacing w:after="90"/>
      </w:pPr>
      <w:r>
        <w:rPr>
          <w:rFonts w:ascii="Calibri" w:cs="Calibri" w:eastAsia="Calibri" w:hAnsi="Calibri"/>
          <w:color w:val="5C6678"/>
          <w:sz w:val="21"/>
          <w:szCs w:val="21"/>
        </w:rPr>
        <w:t xml:space="preserve">When releasing the report, explicitly call back to Lesson 1.2: "Notice this asks for 2FA confirmation too — the same protection as your account login, because this is the most consequential single action in the workflow."</w:t>
      </w:r>
    </w:p>
    <w:p>
      <w:pPr>
        <w:pStyle w:val="ListParagraph"/>
        <w:numPr>
          <w:ilvl w:val="0"/>
          <w:numId w:val="3"/>
        </w:numPr>
        <w:spacing w:after="90"/>
      </w:pPr>
      <w:r>
        <w:rPr>
          <w:rFonts w:ascii="Calibri" w:cs="Calibri" w:eastAsia="Calibri" w:hAnsi="Calibri"/>
          <w:color w:val="5C6678"/>
          <w:sz w:val="21"/>
          <w:szCs w:val="21"/>
        </w:rPr>
        <w:t xml:space="preserve">Close by explicitly naming which support channel you'd personally use for two or three quick example scenarios, modelling the decision rather than just stating the rule.</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Patients → + Register patient. Fill name, DOB, sex, phone, and a fictional NHIS policy number. Show the auto-generated PT-2026-NNNN hospital number on save.</w:t>
      </w:r>
    </w:p>
    <w:p>
      <w:pPr>
        <w:pStyle w:val="ListParagraph"/>
        <w:numPr>
          <w:ilvl w:val="0"/>
          <w:numId w:val="9"/>
        </w:numPr>
        <w:spacing w:after="90"/>
      </w:pPr>
      <w:r>
        <w:rPr>
          <w:rFonts w:ascii="Calibri" w:cs="Calibri" w:eastAsia="Calibri" w:hAnsi="Calibri"/>
          <w:color w:val="5C6678"/>
          <w:sz w:val="21"/>
          <w:szCs w:val="21"/>
        </w:rPr>
        <w:t xml:space="preserve">+ New test request. Search the patient, select clinician and priority, click one common-panel chip (e.g., Diabetes Workup), show the specimen-tube indicator.</w:t>
      </w:r>
    </w:p>
    <w:p>
      <w:pPr>
        <w:pStyle w:val="ListParagraph"/>
        <w:numPr>
          <w:ilvl w:val="0"/>
          <w:numId w:val="9"/>
        </w:numPr>
        <w:spacing w:after="90"/>
      </w:pPr>
      <w:r>
        <w:rPr>
          <w:rFonts w:ascii="Calibri" w:cs="Calibri" w:eastAsia="Calibri" w:hAnsi="Calibri"/>
          <w:color w:val="5C6678"/>
          <w:sz w:val="21"/>
          <w:szCs w:val="21"/>
        </w:rPr>
        <w:t xml:space="preserve">Open Sample Tracking, find the request, simulate a barcode scan, enter a collection time and a condition note.</w:t>
      </w:r>
    </w:p>
    <w:p>
      <w:pPr>
        <w:pStyle w:val="ListParagraph"/>
        <w:numPr>
          <w:ilvl w:val="0"/>
          <w:numId w:val="9"/>
        </w:numPr>
        <w:spacing w:after="90"/>
      </w:pPr>
      <w:r>
        <w:rPr>
          <w:rFonts w:ascii="Calibri" w:cs="Calibri" w:eastAsia="Calibri" w:hAnsi="Calibri"/>
          <w:color w:val="5C6678"/>
          <w:sz w:val="21"/>
          <w:szCs w:val="21"/>
        </w:rPr>
        <w:t xml:space="preserve">Open Results Management, enter a normal result, then a High/Low result, then (if the sandbox supports it) a Critical result — show the two-person validation prompt appearing.</w:t>
      </w:r>
    </w:p>
    <w:p>
      <w:pPr>
        <w:pStyle w:val="ListParagraph"/>
        <w:numPr>
          <w:ilvl w:val="0"/>
          <w:numId w:val="9"/>
        </w:numPr>
        <w:spacing w:after="90"/>
      </w:pPr>
      <w:r>
        <w:rPr>
          <w:rFonts w:ascii="Calibri" w:cs="Calibri" w:eastAsia="Calibri" w:hAnsi="Calibri"/>
          <w:color w:val="5C6678"/>
          <w:sz w:val="21"/>
          <w:szCs w:val="21"/>
        </w:rPr>
        <w:t xml:space="preserve">Click Release report, show the 2FA confirmation step, show the resulting watermarked PDF and the delivery options (download / email / WhatsApp).</w:t>
      </w:r>
    </w:p>
    <w:p>
      <w:pPr>
        <w:pStyle w:val="ListParagraph"/>
        <w:numPr>
          <w:ilvl w:val="0"/>
          <w:numId w:val="9"/>
        </w:numPr>
        <w:spacing w:after="90"/>
      </w:pPr>
      <w:r>
        <w:rPr>
          <w:rFonts w:ascii="Calibri" w:cs="Calibri" w:eastAsia="Calibri" w:hAnsi="Calibri"/>
          <w:color w:val="5C6678"/>
          <w:sz w:val="21"/>
          <w:szCs w:val="21"/>
        </w:rPr>
        <w:t xml:space="preserve">Show the invoice status updating to "Paid · Report ready."</w:t>
      </w:r>
    </w:p>
    <w:p>
      <w:pPr>
        <w:pStyle w:val="ListParagraph"/>
        <w:numPr>
          <w:ilvl w:val="0"/>
          <w:numId w:val="9"/>
        </w:numPr>
        <w:spacing w:after="90"/>
      </w:pPr>
      <w:r>
        <w:rPr>
          <w:rFonts w:ascii="Calibri" w:cs="Calibri" w:eastAsia="Calibri" w:hAnsi="Calibri"/>
          <w:color w:val="5C6678"/>
          <w:sz w:val="21"/>
          <w:szCs w:val="21"/>
        </w:rPr>
        <w:t xml:space="preserve">Cut to a simple on-screen four-channel support graphic (Help articles / WhatsApp / Email / Ticket) with response-time expectations labelled.</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Registration → Request → Collection → Results → Release: one continuous, traceable journey.</w:t>
      </w:r>
    </w:p>
    <w:p>
      <w:pPr>
        <w:pStyle w:val="ListParagraph"/>
        <w:numPr>
          <w:ilvl w:val="0"/>
          <w:numId w:val="3"/>
        </w:numPr>
        <w:spacing w:after="90"/>
      </w:pPr>
      <w:r>
        <w:rPr>
          <w:rFonts w:ascii="Calibri" w:cs="Calibri" w:eastAsia="Calibri" w:hAnsi="Calibri"/>
          <w:color w:val="5C6678"/>
          <w:sz w:val="21"/>
          <w:szCs w:val="21"/>
        </w:rPr>
        <w:t xml:space="preserve">The auto-generated hospital number and barcode chain of custody exist to make every step traceable back to one real person.</w:t>
      </w:r>
    </w:p>
    <w:p>
      <w:pPr>
        <w:pStyle w:val="ListParagraph"/>
        <w:numPr>
          <w:ilvl w:val="0"/>
          <w:numId w:val="3"/>
        </w:numPr>
        <w:spacing w:after="90"/>
      </w:pPr>
      <w:r>
        <w:rPr>
          <w:rFonts w:ascii="Calibri" w:cs="Calibri" w:eastAsia="Calibri" w:hAnsi="Calibri"/>
          <w:color w:val="5C6678"/>
          <w:sz w:val="21"/>
          <w:szCs w:val="21"/>
        </w:rPr>
        <w:t xml:space="preserve">Critical flags trigger mandatory two-person validation — never route around this.</w:t>
      </w:r>
    </w:p>
    <w:p>
      <w:pPr>
        <w:pStyle w:val="ListParagraph"/>
        <w:numPr>
          <w:ilvl w:val="0"/>
          <w:numId w:val="3"/>
        </w:numPr>
        <w:spacing w:after="90"/>
      </w:pPr>
      <w:r>
        <w:rPr>
          <w:rFonts w:ascii="Calibri" w:cs="Calibri" w:eastAsia="Calibri" w:hAnsi="Calibri"/>
          <w:color w:val="5C6678"/>
          <w:sz w:val="21"/>
          <w:szCs w:val="21"/>
        </w:rPr>
        <w:t xml:space="preserve">Report release uses 2FA confirmation, mirroring account-level security at the workflow's most consequential moment.</w:t>
      </w:r>
    </w:p>
    <w:p>
      <w:pPr>
        <w:pStyle w:val="ListParagraph"/>
        <w:numPr>
          <w:ilvl w:val="0"/>
          <w:numId w:val="3"/>
        </w:numPr>
        <w:spacing w:after="90"/>
      </w:pPr>
      <w:r>
        <w:rPr>
          <w:rFonts w:ascii="Calibri" w:cs="Calibri" w:eastAsia="Calibri" w:hAnsi="Calibri"/>
          <w:color w:val="5C6678"/>
          <w:sz w:val="21"/>
          <w:szCs w:val="21"/>
        </w:rPr>
        <w:t xml:space="preserve">Match your support channel to urgency: Help articles → self-serve; WhatsApp → urgent; Email → non-urgent; Ticket → needs tracking over time.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A simple five-stage horizontal progress bar (Register → Request → Collect → Result → Release) shown as a persistent on-screen overlay throughout the video, highlighting the current stage.</w:t>
      </w:r>
    </w:p>
    <w:p>
      <w:pPr>
        <w:pStyle w:val="ListParagraph"/>
        <w:numPr>
          <w:ilvl w:val="0"/>
          <w:numId w:val="3"/>
        </w:numPr>
        <w:spacing w:after="90"/>
      </w:pPr>
      <w:r>
        <w:rPr>
          <w:rFonts w:ascii="Calibri" w:cs="Calibri" w:eastAsia="Calibri" w:hAnsi="Calibri"/>
          <w:color w:val="5C6678"/>
          <w:sz w:val="21"/>
          <w:szCs w:val="21"/>
        </w:rPr>
        <w:t xml:space="preserve">Brief freeze-frame callout box at the Critical-flag moment: "Critical value detected → two-person validation required."</w:t>
      </w:r>
    </w:p>
    <w:p>
      <w:pPr>
        <w:pStyle w:val="ListParagraph"/>
        <w:numPr>
          <w:ilvl w:val="0"/>
          <w:numId w:val="3"/>
        </w:numPr>
        <w:spacing w:after="90"/>
      </w:pPr>
      <w:r>
        <w:rPr>
          <w:rFonts w:ascii="Calibri" w:cs="Calibri" w:eastAsia="Calibri" w:hAnsi="Calibri"/>
          <w:color w:val="5C6678"/>
          <w:sz w:val="21"/>
          <w:szCs w:val="21"/>
        </w:rPr>
        <w:t xml:space="preserve">Split-screen at report release: the watermarked PDF on one side, the invoice status flipping to Paid · Report ready on the other.</w:t>
      </w:r>
    </w:p>
    <w:p>
      <w:pPr>
        <w:pStyle w:val="ListParagraph"/>
        <w:numPr>
          <w:ilvl w:val="0"/>
          <w:numId w:val="3"/>
        </w:numPr>
        <w:spacing w:after="90"/>
      </w:pPr>
      <w:r>
        <w:rPr>
          <w:rFonts w:ascii="Calibri" w:cs="Calibri" w:eastAsia="Calibri" w:hAnsi="Calibri"/>
          <w:color w:val="5C6678"/>
          <w:sz w:val="21"/>
          <w:szCs w:val="21"/>
        </w:rPr>
        <w:t xml:space="preserve">Four-channel support graphic as a clean end-of-video reference card, ideally reused as a downloadable resource.</w:t>
      </w:r>
    </w:p>
    <w:p>
      <w:r>
        <w:br w:type="page"/>
      </w:r>
    </w:p>
    <w:p>
      <w:pPr>
        <w:spacing w:after="60"/>
      </w:pPr>
      <w:r>
        <w:rPr>
          <w:rFonts w:ascii="Calibri" w:cs="Calibri" w:eastAsia="Calibri" w:hAnsi="Calibri"/>
          <w:b/>
          <w:bCs/>
          <w:color w:val="A8552E"/>
          <w:spacing w:val="14"/>
          <w:sz w:val="17"/>
          <w:szCs w:val="17"/>
        </w:rPr>
        <w:t xml:space="preserve">MODULE 1</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1 assessment confirms a learner has built genuine understanding, not just clicked through three lessons. It combines the three lesson-level knowledge checks with one integrated practical task and a short reflective component, consistent with how this module will ultimately be assessed inside the CLA Level 1 certification gate.</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1.3 (the full patient journey) unaided in a sandbox environment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"Describe one moment in this module where you initially assumed something was a software inconvenience, and explain what operational or clinical purpose you now understand it serves."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1 is the foundation for every module that follows. Module 2 (Patient Registration &amp; Records) goes deep on exactly one stage you walked through quickly here — registration — and assumes you already understand why the hospital-number format and role separation exist. Module 3 (The Standard Test Request Workflow) returns to the full journey from Lesson 1.3 and goes far deeper into each stage, including the exceptions (rejections, reruns) that were deliberately not covered here. A learner who has only memorized button locations from this module, rather than internalized the reasoning, will struggle disproportionately starting in Module 2 — which is precisely why the reflective component above exists.</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1: Getting Started with LabOS</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2026-06-21T18:00:40.580Z</dcterms:created>
  <dcterms:modified xsi:type="dcterms:W3CDTF">2026-06-21T18:00:40.580Z</dcterms:modified>
</cp:coreProperties>
</file>

<file path=docProps/custom.xml><?xml version="1.0" encoding="utf-8"?>
<Properties xmlns="http://schemas.openxmlformats.org/officeDocument/2006/custom-properties" xmlns:vt="http://schemas.openxmlformats.org/officeDocument/2006/docPropsVTypes"/>
</file>