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drawing>
          <wp:inline distT="0" distB="0" distL="0" distR="0">
            <wp:extent cx="2286000" cy="1181100"/>
            <wp:effectExtent t="0" r="0" b="0" l="0"/>
            <wp:docPr id="1" name="logo" descr="logo" title="AgoroX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81100"/>
                    </a:xfrm>
                    <a:prstGeom prst="rect">
                      <a:avLst/>
                    </a:prstGeom>
                  </pic:spPr>
                </pic:pic>
              </a:graphicData>
            </a:graphic>
          </wp:inline>
        </w:drawing>
      </w:r>
    </w:p>
    <w:p>
      <w:pPr>
        <w:spacing w:before="560"/>
        <w:jc w:val="center"/>
      </w:pPr>
      <w:r>
        <w:rPr>
          <w:rFonts w:ascii="Calibri" w:cs="Calibri" w:eastAsia="Calibri" w:hAnsi="Calibri"/>
          <w:b/>
          <w:bCs/>
          <w:color w:val="0E1F33"/>
          <w:spacing w:val="18"/>
          <w:sz w:val="48"/>
          <w:szCs w:val="48"/>
        </w:rPr>
        <w:t xml:space="preserve">AGOROX ACADEMY</w:t>
      </w:r>
    </w:p>
    <w:p>
      <w:pPr>
        <w:spacing w:before="160"/>
        <w:jc w:val="center"/>
      </w:pPr>
      <w:r>
        <w:rPr>
          <w:rFonts w:ascii="Calibri" w:cs="Calibri" w:eastAsia="Calibri" w:hAnsi="Calibri"/>
          <w:color w:val="A8552E"/>
          <w:sz w:val="26"/>
          <w:szCs w:val="26"/>
        </w:rPr>
        <w:t xml:space="preserve">Certified LabOS Administrator (CLA)</w:t>
      </w:r>
    </w:p>
    <w:p>
      <w:pPr>
        <w:spacing w:before="100"/>
        <w:jc w:val="center"/>
      </w:pPr>
      <w:r>
        <w:rPr>
          <w:rFonts w:ascii="Calibri" w:cs="Calibri" w:eastAsia="Calibri" w:hAnsi="Calibri"/>
          <w:b/>
          <w:bCs/>
          <w:color w:val="0E1F33"/>
          <w:sz w:val="24"/>
          <w:szCs w:val="24"/>
        </w:rPr>
        <w:t xml:space="preserve">Module 7 — Workflow Exceptions &amp; Operational Control</w:t>
      </w:r>
    </w:p>
    <w:p>
      <w:pPr>
        <w:spacing w:before="140"/>
        <w:jc w:val="center"/>
      </w:pPr>
      <w:r>
        <w:rPr>
          <w:rFonts w:ascii="Calibri" w:cs="Calibri" w:eastAsia="Calibri" w:hAnsi="Calibri"/>
          <w:i/>
          <w:iCs/>
          <w:color w:val="5C6678"/>
          <w:sz w:val="17"/>
          <w:szCs w:val="17"/>
        </w:rPr>
        <w:t xml:space="preserve">Production-Ready Training Content — Instructor-Led, Self-Paced &amp; Video Script Package</w:t>
      </w:r>
    </w:p>
    <w:p>
      <w:pPr>
        <w:pBdr>
          <w:top w:val="single" w:color="D8DCE2" w:sz="6" w:space="14"/>
        </w:pBdr>
        <w:spacing w:before="1500"/>
        <w:jc w:val="center"/>
      </w:pPr>
      <w:r>
        <w:rPr>
          <w:rFonts w:ascii="Calibri" w:cs="Calibri" w:eastAsia="Calibri" w:hAnsi="Calibri"/>
          <w:color w:val="8C95A6"/>
          <w:sz w:val="18"/>
          <w:szCs w:val="18"/>
        </w:rPr>
        <w:t xml:space="preserve">AgoroX Technologies · Ibadan, Nigeria · 2026</w:t>
      </w:r>
    </w:p>
    <w:p>
      <w:r>
        <w:br w:type="page"/>
      </w:r>
    </w:p>
    <w:p>
      <w:pPr>
        <w:pStyle w:val="Heading1"/>
      </w:pPr>
      <w:r>
        <w:rPr>
          <w:rFonts w:ascii="Calibri" w:cs="Calibri" w:eastAsia="Calibri" w:hAnsi="Calibri"/>
        </w:rPr>
        <w:t xml:space="preserve">Table of Contents</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pPr>
      <w:r>
        <w:rPr>
          <w:rFonts w:ascii="Calibri" w:cs="Calibri" w:eastAsia="Calibri" w:hAnsi="Calibri"/>
          <w:b/>
          <w:bCs/>
          <w:color w:val="A8552E"/>
          <w:spacing w:val="14"/>
          <w:sz w:val="17"/>
          <w:szCs w:val="17"/>
        </w:rPr>
        <w:t xml:space="preserve">MODULE 7 OF 11 · LABOS ADVANCED OPERATIONS (LEVEL 3)</w:t>
      </w:r>
    </w:p>
    <w:p>
      <w:pPr>
        <w:pStyle w:val="Heading1"/>
      </w:pPr>
      <w:r>
        <w:rPr>
          <w:rFonts w:ascii="Calibri" w:cs="Calibri" w:eastAsia="Calibri" w:hAnsi="Calibri"/>
        </w:rPr>
        <w:t xml:space="preserve">Module Overview</w:t>
      </w:r>
    </w:p>
    <w:p>
      <w:pPr>
        <w:spacing w:after="200"/>
      </w:pPr>
      <w:r>
        <w:rPr>
          <w:rFonts w:ascii="Calibri" w:cs="Calibri" w:eastAsia="Calibri" w:hAnsi="Calibri"/>
          <w:color w:val="5C6678"/>
          <w:sz w:val="23"/>
          <w:szCs w:val="23"/>
        </w:rPr>
        <w:t xml:space="preserve">Module 7 opens Level 3 and deliberately returns to unfinished business: six Help &amp; Documentation articles from the "Test Workflow" category that Module 3 intentionally set aside — critical-result handling, sample reruns and rejections, turnaround-time targets, bulk operations, and the audit trail. Module 3 covered the standard, nothing-goes-wrong path; this module covers everything that happens when something doesn't go according to plan, plus the tools for managing performance at scale.</w:t>
      </w:r>
    </w:p>
    <w:p>
      <w:pPr>
        <w:spacing w:after="160"/>
      </w:pPr>
      <w:r>
        <w:rPr>
          <w:rFonts w:ascii="Calibri" w:cs="Calibri" w:eastAsia="Calibri" w:hAnsi="Calibri"/>
          <w:color w:val="5C6678"/>
          <w:sz w:val="21"/>
          <w:szCs w:val="21"/>
        </w:rPr>
        <w:t xml:space="preserve">Every laboratory eventually has a dangerously abnormal result that needs an urgent callback, a sample that arrives haemolysed, a queue of forty pending requests that needs a bulk action rather than forty individual clicks. Module 3 built the muscle memory for the everyday case; this module builds the judgment for the exceptional one — which, in a real laboratory, isn't actually rare. It happens daily, just unpredictably, which is exactly why it deserves the same rigor as the standard path rather than being treated as an afterthought.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MODULE POSITION</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Level 3 — LabOS Advanced Operations, Module 1 of 5 in this level</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SOURCE MATERIAL</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6 Help &amp; Documentation articles (wf-2, wf-7, wf-9, wf-10, wf-11, wf-12), used as factual source only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LESSONS IN THIS MODULE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3</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ESTIMATED TIME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75–95 minutes self-paced, or a 2-hour facilitated session</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DELIVERY FORMATS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Self-paced online · Instructor-led · Corporate cohort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PREREQUISITE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Module 6 — Core Integrations Setup (completes Level 2)</w:t>
            </w:r>
          </w:p>
        </w:tc>
      </w:tr>
    </w:tbl>
    <w:p>
      <w:pPr>
        <w:spacing w:after="200"/>
      </w:pPr>
    </w:p>
    <w:p>
      <w:pPr>
        <w:pStyle w:val="Heading2"/>
      </w:pPr>
      <w:r>
        <w:rPr>
          <w:rFonts w:ascii="Calibri" w:cs="Calibri" w:eastAsia="Calibri" w:hAnsi="Calibri"/>
        </w:rPr>
        <w:t xml:space="preserve">Why This Module Exists</w:t>
      </w:r>
    </w:p>
    <w:p>
      <w:pPr>
        <w:spacing w:after="160"/>
      </w:pPr>
      <w:r>
        <w:rPr>
          <w:rFonts w:ascii="Calibri" w:cs="Calibri" w:eastAsia="Calibri" w:hAnsi="Calibri"/>
          <w:color w:val="5C6678"/>
          <w:sz w:val="21"/>
          <w:szCs w:val="21"/>
        </w:rPr>
        <w:t xml:space="preserve">A laboratory administrator trained only on the standard path is genuinely unprepared for their first dangerously abnormal result, their first rejected sample, or their first moment of needing to clear a forty-item queue under time pressure. These situations don't announce themselves on a schedule — they happen in the middle of an otherwise ordinary shift, and the staff handling them need to already know the protocol cold, not be learning it for the first time in the moment it matters most. This module exists to build that readiness deliberately, in a calm training environment, rather than leaving it to be learned under pressure during a real critical event.</w:t>
      </w:r>
    </w:p>
    <w:p>
      <w:r>
        <w:br w:type="page"/>
      </w:r>
    </w:p>
    <w:p>
      <w:pPr>
        <w:spacing w:after="60"/>
      </w:pPr>
      <w:r>
        <w:rPr>
          <w:rFonts w:ascii="Calibri" w:cs="Calibri" w:eastAsia="Calibri" w:hAnsi="Calibri"/>
          <w:b/>
          <w:bCs/>
          <w:color w:val="A8552E"/>
          <w:spacing w:val="14"/>
          <w:sz w:val="17"/>
          <w:szCs w:val="17"/>
        </w:rPr>
        <w:t xml:space="preserve">MODULE 7</w:t>
      </w:r>
    </w:p>
    <w:p>
      <w:pPr>
        <w:pStyle w:val="Heading1"/>
      </w:pPr>
      <w:r>
        <w:rPr>
          <w:rFonts w:ascii="Calibri" w:cs="Calibri" w:eastAsia="Calibri" w:hAnsi="Calibri"/>
        </w:rPr>
        <w:t xml:space="preserve">Learning Objectives</w:t>
      </w:r>
    </w:p>
    <w:p>
      <w:pPr>
        <w:spacing w:after="200"/>
      </w:pPr>
      <w:r>
        <w:rPr>
          <w:rFonts w:ascii="Calibri" w:cs="Calibri" w:eastAsia="Calibri" w:hAnsi="Calibri"/>
          <w:color w:val="5C6678"/>
          <w:sz w:val="23"/>
          <w:szCs w:val="23"/>
        </w:rPr>
        <w:t xml:space="preserve">By the end of Module 7, a learner will be able to do all of the following.</w:t>
      </w:r>
    </w:p>
    <w:p>
      <w:pPr>
        <w:spacing w:after="80"/>
      </w:pPr>
    </w:p>
    <w:p>
      <w:pPr>
        <w:pStyle w:val="ListParagraph"/>
        <w:numPr>
          <w:ilvl w:val="0"/>
          <w:numId w:val="2"/>
        </w:numPr>
        <w:spacing w:after="90"/>
      </w:pPr>
      <w:r>
        <w:rPr>
          <w:rFonts w:ascii="Calibri" w:cs="Calibri" w:eastAsia="Calibri" w:hAnsi="Calibri"/>
          <w:color w:val="5C6678"/>
          <w:sz w:val="21"/>
          <w:szCs w:val="21"/>
        </w:rPr>
        <w:t xml:space="preserve">Execute the full critical-result protocol correctly, including the mandatory phone callback and read-back confirmation, and name the specific tests this protocol covers.</w:t>
      </w:r>
    </w:p>
    <w:p>
      <w:pPr>
        <w:pStyle w:val="ListParagraph"/>
        <w:numPr>
          <w:ilvl w:val="0"/>
          <w:numId w:val="2"/>
        </w:numPr>
        <w:spacing w:after="90"/>
      </w:pPr>
      <w:r>
        <w:rPr>
          <w:rFonts w:ascii="Calibri" w:cs="Calibri" w:eastAsia="Calibri" w:hAnsi="Calibri"/>
          <w:color w:val="5C6678"/>
          <w:sz w:val="21"/>
          <w:szCs w:val="21"/>
        </w:rPr>
        <w:t xml:space="preserve">Identify the four legitimate reasons to rerun a sample and perform a rerun correctly, including the mandatory reason code.</w:t>
      </w:r>
    </w:p>
    <w:p>
      <w:pPr>
        <w:pStyle w:val="ListParagraph"/>
        <w:numPr>
          <w:ilvl w:val="0"/>
          <w:numId w:val="2"/>
        </w:numPr>
        <w:spacing w:after="90"/>
      </w:pPr>
      <w:r>
        <w:rPr>
          <w:rFonts w:ascii="Calibri" w:cs="Calibri" w:eastAsia="Calibri" w:hAnsi="Calibri"/>
          <w:color w:val="5C6678"/>
          <w:sz w:val="21"/>
          <w:szCs w:val="21"/>
        </w:rPr>
        <w:t xml:space="preserve">Identify all seven sample-rejection reasons and explain the specific clinical or analytical problem each one causes.</w:t>
      </w:r>
    </w:p>
    <w:p>
      <w:pPr>
        <w:pStyle w:val="ListParagraph"/>
        <w:numPr>
          <w:ilvl w:val="0"/>
          <w:numId w:val="2"/>
        </w:numPr>
        <w:spacing w:after="90"/>
      </w:pPr>
      <w:r>
        <w:rPr>
          <w:rFonts w:ascii="Calibri" w:cs="Calibri" w:eastAsia="Calibri" w:hAnsi="Calibri"/>
          <w:color w:val="5C6678"/>
          <w:sz w:val="21"/>
          <w:szCs w:val="21"/>
        </w:rPr>
        <w:t xml:space="preserve">Interpret turnaround-time targets by test category and use the Analytics page to identify a genuine bottleneck.</w:t>
      </w:r>
    </w:p>
    <w:p>
      <w:pPr>
        <w:pStyle w:val="ListParagraph"/>
        <w:numPr>
          <w:ilvl w:val="0"/>
          <w:numId w:val="2"/>
        </w:numPr>
        <w:spacing w:after="90"/>
      </w:pPr>
      <w:r>
        <w:rPr>
          <w:rFonts w:ascii="Calibri" w:cs="Calibri" w:eastAsia="Calibri" w:hAnsi="Calibri"/>
          <w:color w:val="5C6678"/>
          <w:sz w:val="21"/>
          <w:szCs w:val="21"/>
        </w:rPr>
        <w:t xml:space="preserve">Use bulk operations correctly and safely across Sample Tracking, Results Management, and Billing.</w:t>
      </w:r>
    </w:p>
    <w:p>
      <w:pPr>
        <w:pStyle w:val="ListParagraph"/>
        <w:numPr>
          <w:ilvl w:val="0"/>
          <w:numId w:val="2"/>
        </w:numPr>
        <w:spacing w:after="90"/>
      </w:pPr>
      <w:r>
        <w:rPr>
          <w:rFonts w:ascii="Calibri" w:cs="Calibri" w:eastAsia="Calibri" w:hAnsi="Calibri"/>
          <w:color w:val="5C6678"/>
          <w:sz w:val="21"/>
          <w:szCs w:val="21"/>
        </w:rPr>
        <w:t xml:space="preserve">Explain what the audit trail captures for every request, why it is hash-chained, and how to use it for an investigation.</w:t>
      </w:r>
    </w:p>
    <w:p>
      <w:r>
        <w:br w:type="page"/>
      </w:r>
    </w:p>
    <w:p>
      <w:pPr>
        <w:spacing w:after="60"/>
      </w:pPr>
      <w:r>
        <w:rPr>
          <w:rFonts w:ascii="Calibri" w:cs="Calibri" w:eastAsia="Calibri" w:hAnsi="Calibri"/>
          <w:b/>
          <w:bCs/>
          <w:color w:val="A8552E"/>
          <w:spacing w:val="14"/>
          <w:sz w:val="17"/>
          <w:szCs w:val="17"/>
        </w:rPr>
        <w:t xml:space="preserve">MODULE 7</w:t>
      </w:r>
    </w:p>
    <w:p>
      <w:pPr>
        <w:pStyle w:val="Heading1"/>
      </w:pPr>
      <w:r>
        <w:rPr>
          <w:rFonts w:ascii="Calibri" w:cs="Calibri" w:eastAsia="Calibri" w:hAnsi="Calibri"/>
        </w:rPr>
        <w:t xml:space="preserve">Key Concepts</w:t>
      </w:r>
    </w:p>
    <w:p>
      <w:pPr>
        <w:spacing w:after="200"/>
      </w:pPr>
      <w:r>
        <w:rPr>
          <w:rFonts w:ascii="Calibri" w:cs="Calibri" w:eastAsia="Calibri" w:hAnsi="Calibri"/>
          <w:color w:val="5C6678"/>
          <w:sz w:val="23"/>
          <w:szCs w:val="23"/>
        </w:rPr>
        <w:t xml:space="preserve">These ideas recur across this module's three lessons, and represent a meaningful shift from Level 2's setup-and-configuration focus toward genuine operational judgment under real conditions.</w:t>
      </w:r>
    </w:p>
    <w:p>
      <w:pPr>
        <w:spacing w:after="80"/>
      </w:pPr>
    </w:p>
    <w:p>
      <w:pPr>
        <w:spacing w:after="100" w:before="220"/>
      </w:pPr>
      <w:r>
        <w:rPr>
          <w:rFonts w:ascii="Calibri" w:cs="Calibri" w:eastAsia="Calibri" w:hAnsi="Calibri"/>
          <w:b/>
          <w:bCs/>
          <w:color w:val="0E1F33"/>
          <w:sz w:val="22"/>
          <w:szCs w:val="22"/>
        </w:rPr>
        <w:t xml:space="preserve">Concept: An exception handled well is not a failure — it's the system working correctly</w:t>
      </w:r>
    </w:p>
    <w:p>
      <w:pPr>
        <w:spacing w:after="160"/>
      </w:pPr>
      <w:r>
        <w:rPr>
          <w:rFonts w:ascii="Calibri" w:cs="Calibri" w:eastAsia="Calibri" w:hAnsi="Calibri"/>
          <w:color w:val="5C6678"/>
          <w:sz w:val="21"/>
          <w:szCs w:val="21"/>
        </w:rPr>
        <w:t xml:space="preserve">A rejected sample, a rerun, a critical-result callback — none of these represent LabOS or laboratory staff failing at their job. They represent the system correctly catching a problem before it could cause harm: a haemolysed sample that would have produced a falsely elevated potassium result, a critical value that genuinely needs a clinician's immediate attention, a QC failure that would have invalidated an entire batch of results. Reframing these as evidence the safety mechanisms are working, rather than as failures to be embarrassed about, is the single biggest mindset shift this module asks of a learner coming from Module 3's standard-path focus.</w:t>
      </w:r>
    </w:p>
    <w:p>
      <w:pPr>
        <w:spacing w:after="100" w:before="220"/>
      </w:pPr>
      <w:r>
        <w:rPr>
          <w:rFonts w:ascii="Calibri" w:cs="Calibri" w:eastAsia="Calibri" w:hAnsi="Calibri"/>
          <w:b/>
          <w:bCs/>
          <w:color w:val="0E1F33"/>
          <w:sz w:val="22"/>
          <w:szCs w:val="22"/>
        </w:rPr>
        <w:t xml:space="preserve">Concept: Mandatory documentation exists because memory is unreliable under pressure</w:t>
      </w:r>
    </w:p>
    <w:p>
      <w:pPr>
        <w:spacing w:after="160"/>
      </w:pPr>
      <w:r>
        <w:rPr>
          <w:rFonts w:ascii="Calibri" w:cs="Calibri" w:eastAsia="Calibri" w:hAnsi="Calibri"/>
          <w:color w:val="5C6678"/>
          <w:sz w:val="21"/>
          <w:szCs w:val="21"/>
        </w:rPr>
        <w:t xml:space="preserve">The critical-result protocol's required phone-call log (name of person spoken to, time, read-back confirmation) and the rerun's mandatory reason code share the same underlying logic: in a high-pressure moment, asking someone to simply "remember to document this properly later" reliably fails. Building the documentation requirement into the workflow itself — the system will not let you proceed without it — removes reliance on memory and discipline alone, especially in exactly the moments when both are under the most strain.</w:t>
      </w:r>
    </w:p>
    <w:p>
      <w:pPr>
        <w:spacing w:after="100" w:before="220"/>
      </w:pPr>
      <w:r>
        <w:rPr>
          <w:rFonts w:ascii="Calibri" w:cs="Calibri" w:eastAsia="Calibri" w:hAnsi="Calibri"/>
          <w:b/>
          <w:bCs/>
          <w:color w:val="0E1F33"/>
          <w:sz w:val="22"/>
          <w:szCs w:val="22"/>
        </w:rPr>
        <w:t xml:space="preserve">Concept: Operating at scale requires different tools than operating one request at a time</w:t>
      </w:r>
    </w:p>
    <w:p>
      <w:pPr>
        <w:spacing w:after="160"/>
      </w:pPr>
      <w:r>
        <w:rPr>
          <w:rFonts w:ascii="Calibri" w:cs="Calibri" w:eastAsia="Calibri" w:hAnsi="Calibri"/>
          <w:color w:val="5C6678"/>
          <w:sz w:val="21"/>
          <w:szCs w:val="21"/>
        </w:rPr>
        <w:t xml:space="preserve">Everything in Module 3 assumed one request, moving through one journey, at a time. A real laboratory often has dozens or hundreds of requests in flight simultaneously, and an administrator who only knows how to act on one request at a time will be overwhelmed the moment volume increases. Bulk operations, turnaround-time analytics, and the audit trail's filterable, exportable design are all tools built specifically for managing many requests as a system, not as a series of individual transactions — a genuinely different skill from the one-at-a-time competency Module 3 established.</w:t>
      </w:r>
    </w:p>
    <w:p>
      <w:r>
        <w:br w:type="page"/>
      </w:r>
    </w:p>
    <w:p>
      <w:pPr>
        <w:pBdr>
          <w:top w:val="single" w:color="0E1F33" w:sz="14" w:space="10"/>
        </w:pBdr>
        <w:spacing w:after="200" w:before="360"/>
      </w:pPr>
      <w:r>
        <w:rPr>
          <w:rFonts w:ascii="Calibri" w:cs="Calibri" w:eastAsia="Calibri" w:hAnsi="Calibri"/>
          <w:b/>
          <w:bCs/>
          <w:color w:val="0E1F33"/>
          <w:spacing w:val="10"/>
          <w:sz w:val="19"/>
          <w:szCs w:val="19"/>
        </w:rPr>
        <w:t xml:space="preserve">BEST PRACTICES — MODULE 7</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0E1F33" w:sz="18"/>
              <w:bottom w:val="single" w:color="D8DCE2" w:sz="4"/>
              <w:right w:val="single" w:color="D8DCE2" w:sz="4"/>
            </w:tcBorders>
            <w:shd w:fill="E8F3FE" w:val="clear"/>
            <w:tcMar>
              <w:top w:type="dxa" w:w="180"/>
              <w:left w:type="dxa" w:w="220"/>
              <w:bottom w:type="dxa" w:w="180"/>
              <w:right w:type="dxa" w:w="220"/>
            </w:tcMar>
          </w:tcPr>
          <w:p>
            <w:pPr>
              <w:spacing w:after="100"/>
            </w:pPr>
            <w:r>
              <w:rPr>
                <w:rFonts w:ascii="Calibri" w:cs="Calibri" w:eastAsia="Calibri" w:hAnsi="Calibri"/>
                <w:b/>
                <w:bCs/>
                <w:color w:val="0E1F33"/>
                <w:spacing w:val="8"/>
                <w:sz w:val="19"/>
                <w:szCs w:val="19"/>
              </w:rPr>
              <w:t xml:space="preserve">APPLY THESE FROM DAY ONE</w:t>
            </w:r>
          </w:p>
          <w:p>
            <w:pPr>
              <w:pStyle w:val="ListParagraph"/>
              <w:numPr>
                <w:ilvl w:val="0"/>
                <w:numId w:val="3"/>
              </w:numPr>
              <w:spacing w:after="70"/>
            </w:pPr>
            <w:r>
              <w:rPr>
                <w:rFonts w:ascii="Calibri" w:cs="Calibri" w:eastAsia="Calibri" w:hAnsi="Calibri"/>
                <w:color w:val="5C6678"/>
                <w:sz w:val="20"/>
                <w:szCs w:val="20"/>
              </w:rPr>
              <w:t xml:space="preserve">Treat every step of the critical-result protocol as mandatory, including the phone callback and read-back, even when a result seems unsurprising or expected.</w:t>
            </w:r>
          </w:p>
          <w:p>
            <w:pPr>
              <w:pStyle w:val="ListParagraph"/>
              <w:numPr>
                <w:ilvl w:val="0"/>
                <w:numId w:val="3"/>
              </w:numPr>
              <w:spacing w:after="70"/>
            </w:pPr>
            <w:r>
              <w:rPr>
                <w:rFonts w:ascii="Calibri" w:cs="Calibri" w:eastAsia="Calibri" w:hAnsi="Calibri"/>
                <w:color w:val="5C6678"/>
                <w:sz w:val="20"/>
                <w:szCs w:val="20"/>
              </w:rPr>
              <w:t xml:space="preserve">Always select a specific, accurate reason code when rejecting a sample or initiating a rerun — never pick the closest option just to move past a required field.</w:t>
            </w:r>
          </w:p>
          <w:p>
            <w:pPr>
              <w:pStyle w:val="ListParagraph"/>
              <w:numPr>
                <w:ilvl w:val="0"/>
                <w:numId w:val="3"/>
              </w:numPr>
              <w:spacing w:after="70"/>
            </w:pPr>
            <w:r>
              <w:rPr>
                <w:rFonts w:ascii="Calibri" w:cs="Calibri" w:eastAsia="Calibri" w:hAnsi="Calibri"/>
                <w:color w:val="5C6678"/>
                <w:sz w:val="20"/>
                <w:szCs w:val="20"/>
              </w:rPr>
              <w:t xml:space="preserve">Review Analytics turnaround-time data regularly, not only when a complaint prompts you to look.</w:t>
            </w:r>
          </w:p>
          <w:p>
            <w:pPr>
              <w:pStyle w:val="ListParagraph"/>
              <w:numPr>
                <w:ilvl w:val="0"/>
                <w:numId w:val="3"/>
              </w:numPr>
              <w:spacing w:after="70"/>
            </w:pPr>
            <w:r>
              <w:rPr>
                <w:rFonts w:ascii="Calibri" w:cs="Calibri" w:eastAsia="Calibri" w:hAnsi="Calibri"/>
                <w:color w:val="5C6678"/>
                <w:sz w:val="20"/>
                <w:szCs w:val="20"/>
              </w:rPr>
              <w:t xml:space="preserve">Before using a bulk action, double-check the selected rows match your actual intent — a bulk action multiplies the consequence of a selection mistake.</w:t>
            </w:r>
          </w:p>
        </w:tc>
      </w:tr>
    </w:tbl>
    <w:p>
      <w:pPr>
        <w:spacing w:after="180"/>
      </w:pPr>
    </w:p>
    <w:p>
      <w:pPr>
        <w:pBdr>
          <w:top w:val="single" w:color="0E1F33" w:sz="14" w:space="10"/>
        </w:pBdr>
        <w:spacing w:after="200" w:before="360"/>
      </w:pPr>
      <w:r>
        <w:rPr>
          <w:rFonts w:ascii="Calibri" w:cs="Calibri" w:eastAsia="Calibri" w:hAnsi="Calibri"/>
          <w:b/>
          <w:bCs/>
          <w:color w:val="0E1F33"/>
          <w:spacing w:val="10"/>
          <w:sz w:val="19"/>
          <w:szCs w:val="19"/>
        </w:rPr>
        <w:t xml:space="preserve">COMMON MISTAKES — MODULE 7</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A8552E" w:sz="18"/>
              <w:bottom w:val="single" w:color="D8DCE2" w:sz="4"/>
              <w:right w:val="single" w:color="D8DCE2" w:sz="4"/>
            </w:tcBorders>
            <w:shd w:fill="F7F5F0" w:val="clear"/>
            <w:tcMar>
              <w:top w:type="dxa" w:w="180"/>
              <w:left w:type="dxa" w:w="220"/>
              <w:bottom w:type="dxa" w:w="180"/>
              <w:right w:type="dxa" w:w="220"/>
            </w:tcMar>
          </w:tcPr>
          <w:p>
            <w:pPr>
              <w:spacing w:after="100"/>
            </w:pPr>
            <w:r>
              <w:rPr>
                <w:rFonts w:ascii="Calibri" w:cs="Calibri" w:eastAsia="Calibri" w:hAnsi="Calibri"/>
                <w:b/>
                <w:bCs/>
                <w:color w:val="A8552E"/>
                <w:spacing w:val="8"/>
                <w:sz w:val="19"/>
                <w:szCs w:val="19"/>
              </w:rPr>
              <w:t xml:space="preserve">WATCH FOR THESE</w:t>
            </w:r>
          </w:p>
          <w:p>
            <w:pPr>
              <w:pStyle w:val="ListParagraph"/>
              <w:numPr>
                <w:ilvl w:val="0"/>
                <w:numId w:val="3"/>
              </w:numPr>
              <w:spacing w:after="70"/>
            </w:pPr>
            <w:r>
              <w:rPr>
                <w:rFonts w:ascii="Calibri" w:cs="Calibri" w:eastAsia="Calibri" w:hAnsi="Calibri"/>
                <w:color w:val="5C6678"/>
                <w:sz w:val="20"/>
                <w:szCs w:val="20"/>
              </w:rPr>
              <w:t xml:space="preserve">Treating the critical-result phone callback as optional once a WhatsApp or SMS notification has already been sent.</w:t>
            </w:r>
          </w:p>
          <w:p>
            <w:pPr>
              <w:pStyle w:val="ListParagraph"/>
              <w:numPr>
                <w:ilvl w:val="0"/>
                <w:numId w:val="3"/>
              </w:numPr>
              <w:spacing w:after="70"/>
            </w:pPr>
            <w:r>
              <w:rPr>
                <w:rFonts w:ascii="Calibri" w:cs="Calibri" w:eastAsia="Calibri" w:hAnsi="Calibri"/>
                <w:color w:val="5C6678"/>
                <w:sz w:val="20"/>
                <w:szCs w:val="20"/>
              </w:rPr>
              <w:t xml:space="preserve">Choosing a generic or convenient rejection reason instead of the one that genuinely matches what's wrong with the sample.</w:t>
            </w:r>
          </w:p>
          <w:p>
            <w:pPr>
              <w:pStyle w:val="ListParagraph"/>
              <w:numPr>
                <w:ilvl w:val="0"/>
                <w:numId w:val="3"/>
              </w:numPr>
              <w:spacing w:after="70"/>
            </w:pPr>
            <w:r>
              <w:rPr>
                <w:rFonts w:ascii="Calibri" w:cs="Calibri" w:eastAsia="Calibri" w:hAnsi="Calibri"/>
                <w:color w:val="5C6678"/>
                <w:sz w:val="20"/>
                <w:szCs w:val="20"/>
              </w:rPr>
              <w:t xml:space="preserve">Looking at total turnaround time without checking which specific stage is actually responsible for an overshoot.</w:t>
            </w:r>
          </w:p>
          <w:p>
            <w:pPr>
              <w:pStyle w:val="ListParagraph"/>
              <w:numPr>
                <w:ilvl w:val="0"/>
                <w:numId w:val="3"/>
              </w:numPr>
              <w:spacing w:after="70"/>
            </w:pPr>
            <w:r>
              <w:rPr>
                <w:rFonts w:ascii="Calibri" w:cs="Calibri" w:eastAsia="Calibri" w:hAnsi="Calibri"/>
                <w:color w:val="5C6678"/>
                <w:sz w:val="20"/>
                <w:szCs w:val="20"/>
              </w:rPr>
              <w:t xml:space="preserve">Selecting a bulk action across rows without verifying the selection first, especially in a busy or distracting environment.</w:t>
            </w:r>
          </w:p>
          <w:p>
            <w:pPr>
              <w:pStyle w:val="ListParagraph"/>
              <w:numPr>
                <w:ilvl w:val="0"/>
                <w:numId w:val="3"/>
              </w:numPr>
              <w:spacing w:after="70"/>
            </w:pPr>
            <w:r>
              <w:rPr>
                <w:rFonts w:ascii="Calibri" w:cs="Calibri" w:eastAsia="Calibri" w:hAnsi="Calibri"/>
                <w:color w:val="5C6678"/>
                <w:sz w:val="20"/>
                <w:szCs w:val="20"/>
              </w:rPr>
              <w:t xml:space="preserve">Assuming the audit trail only matters during a formal investigation, rather than treating it as a routine tool for everyday troubleshooting.</w:t>
            </w:r>
          </w:p>
        </w:tc>
      </w:tr>
    </w:tbl>
    <w:p>
      <w:r>
        <w:br w:type="page"/>
      </w:r>
    </w:p>
    <w:p>
      <w:pPr>
        <w:spacing w:after="60"/>
      </w:pPr>
      <w:r>
        <w:rPr>
          <w:rFonts w:ascii="Calibri" w:cs="Calibri" w:eastAsia="Calibri" w:hAnsi="Calibri"/>
          <w:b/>
          <w:bCs/>
          <w:color w:val="A8552E"/>
          <w:spacing w:val="14"/>
          <w:sz w:val="17"/>
          <w:szCs w:val="17"/>
        </w:rPr>
        <w:t xml:space="preserve">LESSON 7.1</w:t>
      </w:r>
    </w:p>
    <w:p>
      <w:pPr>
        <w:pStyle w:val="Heading1"/>
      </w:pPr>
      <w:r>
        <w:rPr>
          <w:rFonts w:ascii="Calibri" w:cs="Calibri" w:eastAsia="Calibri" w:hAnsi="Calibri"/>
        </w:rPr>
        <w:t xml:space="preserve">When a Result Won't Wait: The Critical-Result Protocol</w:t>
      </w:r>
    </w:p>
    <w:p>
      <w:pPr>
        <w:spacing w:after="200"/>
      </w:pPr>
      <w:r>
        <w:rPr>
          <w:rFonts w:ascii="Calibri" w:cs="Calibri" w:eastAsia="Calibri" w:hAnsi="Calibri"/>
          <w:color w:val="5C6678"/>
          <w:sz w:val="23"/>
          <w:szCs w:val="23"/>
        </w:rPr>
        <w:t xml:space="preserve">This lesson covers the single most clinically urgent sequence of actions in all of LabOS — what happens automatically, and what a scientist must do manually, the moment a dangerously abnormal value is entered.</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the full critical-result protocol from trigger to completion: what LabOS does automatically, what a medical laboratory scientist must do manually, and exactly which tests carry this protocol. By the end, a learner should be able to execute every step correctly under realistic time pressure and explain why each step exists.</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 critical result — a potassium level so high it could trigger a fatal cardiac arrhythmia, a positive MTB/Rif suggesting active tuberculosis — is exactly the kind of value that a paper-based laboratory's biggest historical failure mode was built around: a dangerously abnormal result sitting unnoticed in a pile of paper, or relayed informally and incompletely. This protocol exists specifically to make that failure mode structurally impossible in LabOS — not by hoping staff remember to act urgently, but by building urgency into the system itself, with the result locked from release and multiple parallel notification channels firing automatically the instant the value is entered.</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The five-step critical-result protocol, from automatic lock to audit-logged completion.</w:t>
      </w:r>
    </w:p>
    <w:p>
      <w:pPr>
        <w:pStyle w:val="ListParagraph"/>
        <w:numPr>
          <w:ilvl w:val="0"/>
          <w:numId w:val="3"/>
        </w:numPr>
        <w:spacing w:after="90"/>
      </w:pPr>
      <w:r>
        <w:rPr>
          <w:rFonts w:ascii="Calibri" w:cs="Calibri" w:eastAsia="Calibri" w:hAnsi="Calibri"/>
          <w:color w:val="5C6678"/>
          <w:sz w:val="21"/>
          <w:szCs w:val="21"/>
        </w:rPr>
        <w:t xml:space="preserve">Automatic WhatsApp and SMS notification to the requesting clinician, with Termii fallback.</w:t>
      </w:r>
    </w:p>
    <w:p>
      <w:pPr>
        <w:pStyle w:val="ListParagraph"/>
        <w:numPr>
          <w:ilvl w:val="0"/>
          <w:numId w:val="3"/>
        </w:numPr>
        <w:spacing w:after="90"/>
      </w:pPr>
      <w:r>
        <w:rPr>
          <w:rFonts w:ascii="Calibri" w:cs="Calibri" w:eastAsia="Calibri" w:hAnsi="Calibri"/>
          <w:color w:val="5C6678"/>
          <w:sz w:val="21"/>
          <w:szCs w:val="21"/>
        </w:rPr>
        <w:t xml:space="preserve">The mandatory phone callback: logging the name of the person spoken to, the time, and read-back confirmation.</w:t>
      </w:r>
    </w:p>
    <w:p>
      <w:pPr>
        <w:pStyle w:val="ListParagraph"/>
        <w:numPr>
          <w:ilvl w:val="0"/>
          <w:numId w:val="3"/>
        </w:numPr>
        <w:spacing w:after="90"/>
      </w:pPr>
      <w:r>
        <w:rPr>
          <w:rFonts w:ascii="Calibri" w:cs="Calibri" w:eastAsia="Calibri" w:hAnsi="Calibri"/>
          <w:color w:val="5C6678"/>
          <w:sz w:val="21"/>
          <w:szCs w:val="21"/>
        </w:rPr>
        <w:t xml:space="preserve">On-call pathologist notification for sign-off.</w:t>
      </w:r>
    </w:p>
    <w:p>
      <w:pPr>
        <w:pStyle w:val="ListParagraph"/>
        <w:numPr>
          <w:ilvl w:val="0"/>
          <w:numId w:val="3"/>
        </w:numPr>
        <w:spacing w:after="90"/>
      </w:pPr>
      <w:r>
        <w:rPr>
          <w:rFonts w:ascii="Calibri" w:cs="Calibri" w:eastAsia="Calibri" w:hAnsi="Calibri"/>
          <w:color w:val="5C6678"/>
          <w:sz w:val="21"/>
          <w:szCs w:val="21"/>
        </w:rPr>
        <w:t xml:space="preserve">The named list of tests carrying critical-callback status, and the pathologist's ability to mark any other result as critical manually.</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What happens automatically the instant a critical value is entered</w:t>
      </w:r>
    </w:p>
    <w:p>
      <w:pPr>
        <w:spacing w:after="160"/>
      </w:pPr>
      <w:r>
        <w:rPr>
          <w:rFonts w:ascii="Calibri" w:cs="Calibri" w:eastAsia="Calibri" w:hAnsi="Calibri"/>
          <w:color w:val="5C6678"/>
          <w:sz w:val="21"/>
          <w:szCs w:val="21"/>
        </w:rPr>
        <w:t xml:space="preserve">The moment a test flagged as critical-callback returns a value meeting its critical threshold, LabOS triggers an immediate, largely automatic protocol. First, the result is locked from release — it cannot proceed to report release, by anyone, until the full protocol completes, which is itself a hard system constraint, not a guideline a pathologist could choose to bypass. Second, a WhatsApp message and SMS are sent automatically to the requesting clinician, using the Termii connection built in Module 6, with SMS firing as an automatic fallback if WhatsApp delivery fails — meaning the notification step doesn't depend on a human remembering to send it.</w:t>
      </w:r>
    </w:p>
    <w:p>
      <w:pPr>
        <w:spacing w:after="100" w:before="220"/>
      </w:pPr>
      <w:r>
        <w:rPr>
          <w:rFonts w:ascii="Calibri" w:cs="Calibri" w:eastAsia="Calibri" w:hAnsi="Calibri"/>
          <w:b/>
          <w:bCs/>
          <w:color w:val="0E1F33"/>
          <w:sz w:val="20"/>
          <w:szCs w:val="20"/>
        </w:rPr>
        <w:t xml:space="preserve">What a scientist must do manually — and why automation isn't enough here</w:t>
      </w:r>
    </w:p>
    <w:p>
      <w:pPr>
        <w:spacing w:after="160"/>
      </w:pPr>
      <w:r>
        <w:rPr>
          <w:rFonts w:ascii="Calibri" w:cs="Calibri" w:eastAsia="Calibri" w:hAnsi="Calibri"/>
          <w:color w:val="5C6678"/>
          <w:sz w:val="21"/>
          <w:szCs w:val="21"/>
        </w:rPr>
        <w:t xml:space="preserve">Despite the automatic notifications, the protocol explicitly requires a human action that no software step can substitute for: the receiving scientist must phone the requesting clinician directly and log three specific pieces of information — the name of the person they actually spoke to, the time of the call, and a read-back confirmation, meaning the clinician repeated the critical value back to confirm they heard it correctly. This phone-call requirement exists because a text message can be missed, ignored, or misread, while a confirmed, read-back phone conversation is the only way to be genuinely certain a human being with the authority to act has actually received and understood a value that may require immediate clinical intervention.</w:t>
      </w:r>
    </w:p>
    <w:p>
      <w:pPr>
        <w:spacing w:after="100" w:before="220"/>
      </w:pPr>
      <w:r>
        <w:rPr>
          <w:rFonts w:ascii="Calibri" w:cs="Calibri" w:eastAsia="Calibri" w:hAnsi="Calibri"/>
          <w:b/>
          <w:bCs/>
          <w:color w:val="0E1F33"/>
          <w:sz w:val="20"/>
          <w:szCs w:val="20"/>
        </w:rPr>
        <w:t xml:space="preserve">Closing the loop with pathologist sign-off and the audit trail</w:t>
      </w:r>
    </w:p>
    <w:p>
      <w:pPr>
        <w:spacing w:after="160"/>
      </w:pPr>
      <w:r>
        <w:rPr>
          <w:rFonts w:ascii="Calibri" w:cs="Calibri" w:eastAsia="Calibri" w:hAnsi="Calibri"/>
          <w:color w:val="5C6678"/>
          <w:sz w:val="21"/>
          <w:szCs w:val="21"/>
        </w:rPr>
        <w:t xml:space="preserve">Alongside the clinician notification, the on-call pathologist — the same on-call role configured back in Module 4 — is notified for sign-off, ensuring a senior clinical authority is aware of and accountable for the critical result, not just the requesting clinician. Every single step of this protocol — the automatic lock, the notification dispatch, the phone call log, the pathologist notification — is recorded in the audit log with timestamps, building a complete, defensible record of exactly when each part of the protocol happened, which becomes essential if the case is ever reviewed later.</w:t>
      </w:r>
    </w:p>
    <w:p>
      <w:pPr>
        <w:spacing w:after="100" w:before="220"/>
      </w:pPr>
      <w:r>
        <w:rPr>
          <w:rFonts w:ascii="Calibri" w:cs="Calibri" w:eastAsia="Calibri" w:hAnsi="Calibri"/>
          <w:b/>
          <w:bCs/>
          <w:color w:val="0E1F33"/>
          <w:sz w:val="20"/>
          <w:szCs w:val="20"/>
        </w:rPr>
        <w:t xml:space="preserve">Knowing exactly which tests carry this protocol</w:t>
      </w:r>
    </w:p>
    <w:p>
      <w:pPr>
        <w:spacing w:after="160"/>
      </w:pPr>
      <w:r>
        <w:rPr>
          <w:rFonts w:ascii="Calibri" w:cs="Calibri" w:eastAsia="Calibri" w:hAnsi="Calibri"/>
          <w:color w:val="5C6678"/>
          <w:sz w:val="21"/>
          <w:szCs w:val="21"/>
        </w:rPr>
        <w:t xml:space="preserve">The critical-callback protocol applies to a specific, named set of tests: Troponin I/T, MTB/Rif PCR, CSF analysis, paracetamol level, salicylate level, GeneXpert TB PCR, positive blood culture, MRSA, critical electrolytes (potassium below 2.5 or above 6.5 mmol/L), and glucose below 2.5 or above 25 mmol/L. This is a deliberately curated list — these are tests where a critical value represents a genuine, time-sensitive clinical emergency. Importantly, this list isn't a hard ceiling on the system's judgment: a pathologist retains the ability to manually mark any other result as critical directly from the results screen, recognising that clinical urgency can occasionally arise outside this pre-defined list and the system needs to accommodate that judgment rather than rigidly excluding it.</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Always complete the phone callback and read-back confirmation personally, even when WhatsApp and SMS notifications have already been sent — they are not a substitute for the call.</w:t>
      </w:r>
    </w:p>
    <w:p>
      <w:pPr>
        <w:pStyle w:val="ListParagraph"/>
        <w:numPr>
          <w:ilvl w:val="0"/>
          <w:numId w:val="3"/>
        </w:numPr>
        <w:spacing w:after="90"/>
      </w:pPr>
      <w:r>
        <w:rPr>
          <w:rFonts w:ascii="Calibri" w:cs="Calibri" w:eastAsia="Calibri" w:hAnsi="Calibri"/>
          <w:color w:val="5C6678"/>
          <w:sz w:val="21"/>
          <w:szCs w:val="21"/>
        </w:rPr>
        <w:t xml:space="preserve">Record the phone-call log details (name, time, read-back) immediately after the call, while the details are fresh, rather than from memory later.</w:t>
      </w:r>
    </w:p>
    <w:p>
      <w:pPr>
        <w:pStyle w:val="ListParagraph"/>
        <w:numPr>
          <w:ilvl w:val="0"/>
          <w:numId w:val="3"/>
        </w:numPr>
        <w:spacing w:after="90"/>
      </w:pPr>
      <w:r>
        <w:rPr>
          <w:rFonts w:ascii="Calibri" w:cs="Calibri" w:eastAsia="Calibri" w:hAnsi="Calibri"/>
          <w:color w:val="5C6678"/>
          <w:sz w:val="21"/>
          <w:szCs w:val="21"/>
        </w:rPr>
        <w:t xml:space="preserve">If a result feels clinically critical but isn't on the named test list, use the pathologist's manual critical-marking ability rather than treating the list as exhaustive.</w:t>
      </w:r>
    </w:p>
    <w:p>
      <w:pPr>
        <w:pStyle w:val="ListParagraph"/>
        <w:numPr>
          <w:ilvl w:val="0"/>
          <w:numId w:val="3"/>
        </w:numPr>
        <w:spacing w:after="90"/>
      </w:pPr>
      <w:r>
        <w:rPr>
          <w:rFonts w:ascii="Calibri" w:cs="Calibri" w:eastAsia="Calibri" w:hAnsi="Calibri"/>
          <w:color w:val="5C6678"/>
          <w:sz w:val="21"/>
          <w:szCs w:val="21"/>
        </w:rPr>
        <w:t xml:space="preserve">Review the audit trail after any critical-result event as a routine quality check, confirming every protocol step completed correctly and on time.</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Treating the automatic WhatsApp/SMS notification as sufficient on its own and skipping or delaying the mandatory phone callback.</w:t>
      </w:r>
    </w:p>
    <w:p>
      <w:pPr>
        <w:pStyle w:val="ListParagraph"/>
        <w:numPr>
          <w:ilvl w:val="0"/>
          <w:numId w:val="3"/>
        </w:numPr>
        <w:spacing w:after="90"/>
      </w:pPr>
      <w:r>
        <w:rPr>
          <w:rFonts w:ascii="Calibri" w:cs="Calibri" w:eastAsia="Calibri" w:hAnsi="Calibri"/>
          <w:color w:val="5C6678"/>
          <w:sz w:val="21"/>
          <w:szCs w:val="21"/>
        </w:rPr>
        <w:t xml:space="preserve">Logging an incomplete phone-call record — missing the specific name of the person spoken to, or skipping the read-back confirmation step.</w:t>
      </w:r>
    </w:p>
    <w:p>
      <w:pPr>
        <w:pStyle w:val="ListParagraph"/>
        <w:numPr>
          <w:ilvl w:val="0"/>
          <w:numId w:val="3"/>
        </w:numPr>
        <w:spacing w:after="90"/>
      </w:pPr>
      <w:r>
        <w:rPr>
          <w:rFonts w:ascii="Calibri" w:cs="Calibri" w:eastAsia="Calibri" w:hAnsi="Calibri"/>
          <w:color w:val="5C6678"/>
          <w:sz w:val="21"/>
          <w:szCs w:val="21"/>
        </w:rPr>
        <w:t xml:space="preserve">Assuming a result must appear on the named critical-callback test list to be treated as critical, rather than using the pathologist's manual override when clinical judgment warrants it.</w:t>
      </w:r>
    </w:p>
    <w:p>
      <w:pPr>
        <w:pStyle w:val="ListParagraph"/>
        <w:numPr>
          <w:ilvl w:val="0"/>
          <w:numId w:val="3"/>
        </w:numPr>
        <w:spacing w:after="90"/>
      </w:pPr>
      <w:r>
        <w:rPr>
          <w:rFonts w:ascii="Calibri" w:cs="Calibri" w:eastAsia="Calibri" w:hAnsi="Calibri"/>
          <w:color w:val="5C6678"/>
          <w:sz w:val="21"/>
          <w:szCs w:val="21"/>
        </w:rPr>
        <w:t xml:space="preserve">Forgetting that the result remains locked from release until the entire protocol — not just the notification step — is complete.</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7.1 — RUN THE FULL CRITICAL-RESULT PROTOCOL</w:t>
            </w:r>
          </w:p>
          <w:p>
            <w:r>
              <w:rPr>
                <w:rFonts w:ascii="Calibri" w:cs="Calibri" w:eastAsia="Calibri" w:hAnsi="Calibri"/>
                <w:i/>
                <w:iCs/>
                <w:color w:val="0E1F33"/>
                <w:sz w:val="21"/>
                <w:szCs w:val="21"/>
              </w:rPr>
              <w:t xml:space="preserve">In a sandbox LabOS environment, enter a result for a test on the named critical-callback list at a value that triggers the protocol (for example, a potassium value above 6.5 mmol/L). Observe and document each automatic step as it occurs: the release lock, the WhatsApp/SMS dispatch, and the pathologist notification. Simulate the mandatory phone callback by writing out exactly what you would log — a specific name, a specific time, and the exact read-back phrasing you would use to confirm the clinician heard the value correctly. Finally, open the audit trail for this request and confirm every protocol step is timestamped and recorded.</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does the critical-result protocol require a mandatory phone callback with read-back confirmation, when WhatsApp and SMS notifications are already sent automatically?</w:t>
      </w:r>
    </w:p>
    <w:p>
      <w:pPr>
        <w:spacing w:after="60"/>
      </w:pPr>
      <w:r>
        <w:rPr>
          <w:rFonts w:ascii="Calibri" w:cs="Calibri" w:eastAsia="Calibri" w:hAnsi="Calibri"/>
          <w:color w:val="5C6678"/>
          <w:sz w:val="20"/>
          <w:szCs w:val="20"/>
        </w:rPr>
        <w:t xml:space="preserve">Because a text-based notification can be missed, ignored, or misread, while a phone call with read-back confirmation is the only way to be genuinely certain a clinician with the authority to act has actually received and correctly understood a potentially life-threatening value — the automatic messages and the phone call serve different, complementary purposes, not redundant ones.</w:t>
      </w:r>
    </w:p>
    <w:p>
      <w:pPr>
        <w:spacing w:after="50" w:before="140"/>
      </w:pPr>
      <w:r>
        <w:rPr>
          <w:rFonts w:ascii="Calibri" w:cs="Calibri" w:eastAsia="Calibri" w:hAnsi="Calibri"/>
          <w:b/>
          <w:bCs/>
          <w:color w:val="0E1F33"/>
          <w:sz w:val="21"/>
          <w:szCs w:val="21"/>
        </w:rPr>
        <w:t xml:space="preserve">2. A pathologist believes a result is clinically critical, but the test isn't on the named critical-callback list. What should they do?</w:t>
      </w:r>
    </w:p>
    <w:p>
      <w:pPr>
        <w:spacing w:after="60"/>
      </w:pPr>
      <w:r>
        <w:rPr>
          <w:rFonts w:ascii="Calibri" w:cs="Calibri" w:eastAsia="Calibri" w:hAnsi="Calibri"/>
          <w:color w:val="5C6678"/>
          <w:sz w:val="20"/>
          <w:szCs w:val="20"/>
        </w:rPr>
        <w:t xml:space="preserve">Use their ability to manually mark the result as critical directly from the results screen — the named list represents tests where critical values are a predictable, defined emergency, but it isn't intended as a hard ceiling on clinical judgment, which is why pathologists retain this manual override.</w:t>
      </w:r>
    </w:p>
    <w:p>
      <w:pPr>
        <w:spacing w:after="50" w:before="140"/>
      </w:pPr>
      <w:r>
        <w:rPr>
          <w:rFonts w:ascii="Calibri" w:cs="Calibri" w:eastAsia="Calibri" w:hAnsi="Calibri"/>
          <w:b/>
          <w:bCs/>
          <w:color w:val="0E1F33"/>
          <w:sz w:val="21"/>
          <w:szCs w:val="21"/>
        </w:rPr>
        <w:t xml:space="preserve">3. What specifically prevents a critical result from simply being released the normal way while the callback protocol is still in progress?</w:t>
      </w:r>
    </w:p>
    <w:p>
      <w:pPr>
        <w:spacing w:after="60"/>
      </w:pPr>
      <w:r>
        <w:rPr>
          <w:rFonts w:ascii="Calibri" w:cs="Calibri" w:eastAsia="Calibri" w:hAnsi="Calibri"/>
          <w:color w:val="5C6678"/>
          <w:sz w:val="20"/>
          <w:szCs w:val="20"/>
        </w:rPr>
        <w:t xml:space="preserve">The result is automatically locked from release the moment it's flagged as critical, and this lock remains in place — as a hard system constraint, not a guideline — until the entire protocol completes, meaning release literally cannot happen until every required step, including the phone callback, is done.</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7.1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"When a Result Won't Wait: The Critical-Result Protocol" — CLA Module 7, Lesson 1</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execute the full critical-result protocol correctly under realistic time pressure, including the mandatory phone callback.</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9–11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combined with a role-play phone-call demonstration; presenter voiceover throughout</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4"/>
        </w:numPr>
        <w:spacing w:after="90"/>
      </w:pPr>
      <w:r>
        <w:rPr>
          <w:rFonts w:ascii="Calibri" w:cs="Calibri" w:eastAsia="Calibri" w:hAnsi="Calibri"/>
          <w:color w:val="5C6678"/>
          <w:sz w:val="21"/>
          <w:szCs w:val="21"/>
        </w:rPr>
        <w:t xml:space="preserve">Cold open (0:00–0:40) — "A number just appeared on screen that could be the difference between life and death for this patient — here's exactly what happens next."</w:t>
      </w:r>
    </w:p>
    <w:p>
      <w:pPr>
        <w:pStyle w:val="ListParagraph"/>
        <w:numPr>
          <w:ilvl w:val="0"/>
          <w:numId w:val="4"/>
        </w:numPr>
        <w:spacing w:after="90"/>
      </w:pPr>
      <w:r>
        <w:rPr>
          <w:rFonts w:ascii="Calibri" w:cs="Calibri" w:eastAsia="Calibri" w:hAnsi="Calibri"/>
          <w:color w:val="5C6678"/>
          <w:sz w:val="21"/>
          <w:szCs w:val="21"/>
        </w:rPr>
        <w:t xml:space="preserve">Live demo: entering a critical value, watching the automatic lock and notification dispatch fire (0:40–2:30).</w:t>
      </w:r>
    </w:p>
    <w:p>
      <w:pPr>
        <w:pStyle w:val="ListParagraph"/>
        <w:numPr>
          <w:ilvl w:val="0"/>
          <w:numId w:val="4"/>
        </w:numPr>
        <w:spacing w:after="90"/>
      </w:pPr>
      <w:r>
        <w:rPr>
          <w:rFonts w:ascii="Calibri" w:cs="Calibri" w:eastAsia="Calibri" w:hAnsi="Calibri"/>
          <w:color w:val="5C6678"/>
          <w:sz w:val="21"/>
          <w:szCs w:val="21"/>
        </w:rPr>
        <w:t xml:space="preserve">The named critical-callback test list, shown clearly on screen (2:30–3:30).</w:t>
      </w:r>
    </w:p>
    <w:p>
      <w:pPr>
        <w:pStyle w:val="ListParagraph"/>
        <w:numPr>
          <w:ilvl w:val="0"/>
          <w:numId w:val="4"/>
        </w:numPr>
        <w:spacing w:after="90"/>
      </w:pPr>
      <w:r>
        <w:rPr>
          <w:rFonts w:ascii="Calibri" w:cs="Calibri" w:eastAsia="Calibri" w:hAnsi="Calibri"/>
          <w:color w:val="5C6678"/>
          <w:sz w:val="21"/>
          <w:szCs w:val="21"/>
        </w:rPr>
        <w:t xml:space="preserve">Role-play: the mandatory phone callback, performed in full with correct read-back phrasing (3:30–6:00).</w:t>
      </w:r>
    </w:p>
    <w:p>
      <w:pPr>
        <w:pStyle w:val="ListParagraph"/>
        <w:numPr>
          <w:ilvl w:val="0"/>
          <w:numId w:val="4"/>
        </w:numPr>
        <w:spacing w:after="90"/>
      </w:pPr>
      <w:r>
        <w:rPr>
          <w:rFonts w:ascii="Calibri" w:cs="Calibri" w:eastAsia="Calibri" w:hAnsi="Calibri"/>
          <w:color w:val="5C6678"/>
          <w:sz w:val="21"/>
          <w:szCs w:val="21"/>
        </w:rPr>
        <w:t xml:space="preserve">Pathologist notification and sign-off (6:00–7:00).</w:t>
      </w:r>
    </w:p>
    <w:p>
      <w:pPr>
        <w:pStyle w:val="ListParagraph"/>
        <w:numPr>
          <w:ilvl w:val="0"/>
          <w:numId w:val="4"/>
        </w:numPr>
        <w:spacing w:after="90"/>
      </w:pPr>
      <w:r>
        <w:rPr>
          <w:rFonts w:ascii="Calibri" w:cs="Calibri" w:eastAsia="Calibri" w:hAnsi="Calibri"/>
          <w:color w:val="5C6678"/>
          <w:sz w:val="21"/>
          <w:szCs w:val="21"/>
        </w:rPr>
        <w:t xml:space="preserve">Audit trail review: confirming every step is timestamped (7:00–8:30).</w:t>
      </w:r>
    </w:p>
    <w:p>
      <w:pPr>
        <w:pStyle w:val="ListParagraph"/>
        <w:numPr>
          <w:ilvl w:val="0"/>
          <w:numId w:val="4"/>
        </w:numPr>
        <w:spacing w:after="90"/>
      </w:pPr>
      <w:r>
        <w:rPr>
          <w:rFonts w:ascii="Calibri" w:cs="Calibri" w:eastAsia="Calibri" w:hAnsi="Calibri"/>
          <w:color w:val="5C6678"/>
          <w:sz w:val="21"/>
          <w:szCs w:val="21"/>
        </w:rPr>
        <w:t xml:space="preserve">Close + transition to Lesson 7.2 (8:30–end).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Open with genuine urgency in tone, not theatrical alarm: "This is the moment every other safeguard in this program has been building toward."</w:t>
      </w:r>
    </w:p>
    <w:p>
      <w:pPr>
        <w:pStyle w:val="ListParagraph"/>
        <w:numPr>
          <w:ilvl w:val="0"/>
          <w:numId w:val="3"/>
        </w:numPr>
        <w:spacing w:after="90"/>
      </w:pPr>
      <w:r>
        <w:rPr>
          <w:rFonts w:ascii="Calibri" w:cs="Calibri" w:eastAsia="Calibri" w:hAnsi="Calibri"/>
          <w:color w:val="5C6678"/>
          <w:sz w:val="21"/>
          <w:szCs w:val="21"/>
        </w:rPr>
        <w:t xml:space="preserve">During the role-play call, perform it exactly as it should sound, including the read-back: "I want to confirm — you heard a potassium of 7.1, is that correct?" — modelling the literal language matters here.</w:t>
      </w:r>
    </w:p>
    <w:p>
      <w:pPr>
        <w:pStyle w:val="ListParagraph"/>
        <w:numPr>
          <w:ilvl w:val="0"/>
          <w:numId w:val="3"/>
        </w:numPr>
        <w:spacing w:after="90"/>
      </w:pPr>
      <w:r>
        <w:rPr>
          <w:rFonts w:ascii="Calibri" w:cs="Calibri" w:eastAsia="Calibri" w:hAnsi="Calibri"/>
          <w:color w:val="5C6678"/>
          <w:sz w:val="21"/>
          <w:szCs w:val="21"/>
        </w:rPr>
        <w:t xml:space="preserve">After the role-play, break character briefly to underline the point: "That confirmation — them repeating the number back — is not optional. That's the whole point of this call."</w:t>
      </w:r>
    </w:p>
    <w:p>
      <w:pPr>
        <w:pStyle w:val="ListParagraph"/>
        <w:numPr>
          <w:ilvl w:val="0"/>
          <w:numId w:val="3"/>
        </w:numPr>
        <w:spacing w:after="90"/>
      </w:pPr>
      <w:r>
        <w:rPr>
          <w:rFonts w:ascii="Calibri" w:cs="Calibri" w:eastAsia="Calibri" w:hAnsi="Calibri"/>
          <w:color w:val="5C6678"/>
          <w:sz w:val="21"/>
          <w:szCs w:val="21"/>
        </w:rPr>
        <w:t xml:space="preserve">At the audit trail review, connect back explicitly: "Every timestamp you're seeing here is proof this protocol happened correctly, in order, on time."</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5"/>
        </w:numPr>
        <w:spacing w:after="90"/>
      </w:pPr>
      <w:r>
        <w:rPr>
          <w:rFonts w:ascii="Calibri" w:cs="Calibri" w:eastAsia="Calibri" w:hAnsi="Calibri"/>
          <w:color w:val="5C6678"/>
          <w:sz w:val="21"/>
          <w:szCs w:val="21"/>
        </w:rPr>
        <w:t xml:space="preserve">Enter a result for a named critical-callback test at a critical threshold (e.g., potassium &gt; 6.5 mmol/L).</w:t>
      </w:r>
    </w:p>
    <w:p>
      <w:pPr>
        <w:pStyle w:val="ListParagraph"/>
        <w:numPr>
          <w:ilvl w:val="0"/>
          <w:numId w:val="5"/>
        </w:numPr>
        <w:spacing w:after="90"/>
      </w:pPr>
      <w:r>
        <w:rPr>
          <w:rFonts w:ascii="Calibri" w:cs="Calibri" w:eastAsia="Calibri" w:hAnsi="Calibri"/>
          <w:color w:val="5C6678"/>
          <w:sz w:val="21"/>
          <w:szCs w:val="21"/>
        </w:rPr>
        <w:t xml:space="preserve">Show the immediate release lock appearing on the result.</w:t>
      </w:r>
    </w:p>
    <w:p>
      <w:pPr>
        <w:pStyle w:val="ListParagraph"/>
        <w:numPr>
          <w:ilvl w:val="0"/>
          <w:numId w:val="5"/>
        </w:numPr>
        <w:spacing w:after="90"/>
      </w:pPr>
      <w:r>
        <w:rPr>
          <w:rFonts w:ascii="Calibri" w:cs="Calibri" w:eastAsia="Calibri" w:hAnsi="Calibri"/>
          <w:color w:val="5C6678"/>
          <w:sz w:val="21"/>
          <w:szCs w:val="21"/>
        </w:rPr>
        <w:t xml:space="preserve">Show the WhatsApp/SMS dispatch confirmation in the system.</w:t>
      </w:r>
    </w:p>
    <w:p>
      <w:pPr>
        <w:pStyle w:val="ListParagraph"/>
        <w:numPr>
          <w:ilvl w:val="0"/>
          <w:numId w:val="5"/>
        </w:numPr>
        <w:spacing w:after="90"/>
      </w:pPr>
      <w:r>
        <w:rPr>
          <w:rFonts w:ascii="Calibri" w:cs="Calibri" w:eastAsia="Calibri" w:hAnsi="Calibri"/>
          <w:color w:val="5C6678"/>
          <w:sz w:val="21"/>
          <w:szCs w:val="21"/>
        </w:rPr>
        <w:t xml:space="preserve">Cut to a role-play phone call (two presenters, or a single presenter narrating both sides) performing the callback with full read-back.</w:t>
      </w:r>
    </w:p>
    <w:p>
      <w:pPr>
        <w:pStyle w:val="ListParagraph"/>
        <w:numPr>
          <w:ilvl w:val="0"/>
          <w:numId w:val="5"/>
        </w:numPr>
        <w:spacing w:after="90"/>
      </w:pPr>
      <w:r>
        <w:rPr>
          <w:rFonts w:ascii="Calibri" w:cs="Calibri" w:eastAsia="Calibri" w:hAnsi="Calibri"/>
          <w:color w:val="5C6678"/>
          <w:sz w:val="21"/>
          <w:szCs w:val="21"/>
        </w:rPr>
        <w:t xml:space="preserve">Show logging the call details: name, time, read-back confirmation, in the LabOS interface.</w:t>
      </w:r>
    </w:p>
    <w:p>
      <w:pPr>
        <w:pStyle w:val="ListParagraph"/>
        <w:numPr>
          <w:ilvl w:val="0"/>
          <w:numId w:val="5"/>
        </w:numPr>
        <w:spacing w:after="90"/>
      </w:pPr>
      <w:r>
        <w:rPr>
          <w:rFonts w:ascii="Calibri" w:cs="Calibri" w:eastAsia="Calibri" w:hAnsi="Calibri"/>
          <w:color w:val="5C6678"/>
          <w:sz w:val="21"/>
          <w:szCs w:val="21"/>
        </w:rPr>
        <w:t xml:space="preserve">Show the pathologist sign-off notification.</w:t>
      </w:r>
    </w:p>
    <w:p>
      <w:pPr>
        <w:pStyle w:val="ListParagraph"/>
        <w:numPr>
          <w:ilvl w:val="0"/>
          <w:numId w:val="5"/>
        </w:numPr>
        <w:spacing w:after="90"/>
      </w:pPr>
      <w:r>
        <w:rPr>
          <w:rFonts w:ascii="Calibri" w:cs="Calibri" w:eastAsia="Calibri" w:hAnsi="Calibri"/>
          <w:color w:val="5C6678"/>
          <w:sz w:val="21"/>
          <w:szCs w:val="21"/>
        </w:rPr>
        <w:t xml:space="preserve">Open the audit trail for the request, scroll through the timestamped protocol steps.</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Critical result → automatic lock + automatic notification + mandatory phone callback, every time.</w:t>
      </w:r>
    </w:p>
    <w:p>
      <w:pPr>
        <w:pStyle w:val="ListParagraph"/>
        <w:numPr>
          <w:ilvl w:val="0"/>
          <w:numId w:val="3"/>
        </w:numPr>
        <w:spacing w:after="90"/>
      </w:pPr>
      <w:r>
        <w:rPr>
          <w:rFonts w:ascii="Calibri" w:cs="Calibri" w:eastAsia="Calibri" w:hAnsi="Calibri"/>
          <w:color w:val="5C6678"/>
          <w:sz w:val="21"/>
          <w:szCs w:val="21"/>
        </w:rPr>
        <w:t xml:space="preserve">The phone callback requires a name, a time, and read-back confirmation — no exceptions.</w:t>
      </w:r>
    </w:p>
    <w:p>
      <w:pPr>
        <w:pStyle w:val="ListParagraph"/>
        <w:numPr>
          <w:ilvl w:val="0"/>
          <w:numId w:val="3"/>
        </w:numPr>
        <w:spacing w:after="90"/>
      </w:pPr>
      <w:r>
        <w:rPr>
          <w:rFonts w:ascii="Calibri" w:cs="Calibri" w:eastAsia="Calibri" w:hAnsi="Calibri"/>
          <w:color w:val="5C6678"/>
          <w:sz w:val="21"/>
          <w:szCs w:val="21"/>
        </w:rPr>
        <w:t xml:space="preserve">The named test list isn't exhaustive — pathologists can mark any result critical manually.</w:t>
      </w:r>
    </w:p>
    <w:p>
      <w:pPr>
        <w:pStyle w:val="ListParagraph"/>
        <w:numPr>
          <w:ilvl w:val="0"/>
          <w:numId w:val="3"/>
        </w:numPr>
        <w:spacing w:after="90"/>
      </w:pPr>
      <w:r>
        <w:rPr>
          <w:rFonts w:ascii="Calibri" w:cs="Calibri" w:eastAsia="Calibri" w:hAnsi="Calibri"/>
          <w:color w:val="5C6678"/>
          <w:sz w:val="21"/>
          <w:szCs w:val="21"/>
        </w:rPr>
        <w:t xml:space="preserve">Every protocol step is timestamped in the audit trail, automatically.</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Five-step protocol shown as a vertical checklist, each step lighting up as it's demonstrated.</w:t>
      </w:r>
    </w:p>
    <w:p>
      <w:pPr>
        <w:pStyle w:val="ListParagraph"/>
        <w:numPr>
          <w:ilvl w:val="0"/>
          <w:numId w:val="3"/>
        </w:numPr>
        <w:spacing w:after="90"/>
      </w:pPr>
      <w:r>
        <w:rPr>
          <w:rFonts w:ascii="Calibri" w:cs="Calibri" w:eastAsia="Calibri" w:hAnsi="Calibri"/>
          <w:color w:val="5C6678"/>
          <w:sz w:val="21"/>
          <w:szCs w:val="21"/>
        </w:rPr>
        <w:t xml:space="preserve">Named critical-callback test list shown as a clean reference card, reusable as a downloadable resource.</w:t>
      </w:r>
    </w:p>
    <w:p>
      <w:pPr>
        <w:pStyle w:val="ListParagraph"/>
        <w:numPr>
          <w:ilvl w:val="0"/>
          <w:numId w:val="3"/>
        </w:numPr>
        <w:spacing w:after="90"/>
      </w:pPr>
      <w:r>
        <w:rPr>
          <w:rFonts w:ascii="Calibri" w:cs="Calibri" w:eastAsia="Calibri" w:hAnsi="Calibri"/>
          <w:color w:val="5C6678"/>
          <w:sz w:val="21"/>
          <w:szCs w:val="21"/>
        </w:rPr>
        <w:t xml:space="preserve">Audit trail close-up showing the five protocol steps with their timestamps clearly visible.</w:t>
      </w:r>
    </w:p>
    <w:p>
      <w:r>
        <w:br w:type="page"/>
      </w:r>
    </w:p>
    <w:p>
      <w:pPr>
        <w:spacing w:after="60"/>
      </w:pPr>
      <w:r>
        <w:rPr>
          <w:rFonts w:ascii="Calibri" w:cs="Calibri" w:eastAsia="Calibri" w:hAnsi="Calibri"/>
          <w:b/>
          <w:bCs/>
          <w:color w:val="A8552E"/>
          <w:spacing w:val="14"/>
          <w:sz w:val="17"/>
          <w:szCs w:val="17"/>
        </w:rPr>
        <w:t xml:space="preserve">LESSON 7.2</w:t>
      </w:r>
    </w:p>
    <w:p>
      <w:pPr>
        <w:pStyle w:val="Heading1"/>
      </w:pPr>
      <w:r>
        <w:rPr>
          <w:rFonts w:ascii="Calibri" w:cs="Calibri" w:eastAsia="Calibri" w:hAnsi="Calibri"/>
        </w:rPr>
        <w:t xml:space="preserve">When Something's Wrong With the Sample: Reruns and Rejections</w:t>
      </w:r>
    </w:p>
    <w:p>
      <w:pPr>
        <w:spacing w:after="200"/>
      </w:pPr>
      <w:r>
        <w:rPr>
          <w:rFonts w:ascii="Calibri" w:cs="Calibri" w:eastAsia="Calibri" w:hAnsi="Calibri"/>
          <w:color w:val="5C6678"/>
          <w:sz w:val="23"/>
          <w:szCs w:val="23"/>
        </w:rPr>
        <w:t xml:space="preserve">This lesson covers the two structured responses LabOS provides when a specimen itself — not the patient's clinical status — is the problem: rerunning it, or rejecting it outright.</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the four legitimate reasons to rerun a sample and the correct rerun procedure, plus all seven sample-rejection reasons and what happens after a rejection. By the end, a learner should be able to distinguish correctly between a situation calling for a rerun and one calling for outright rejection, and execute either with the correct mandatory documentation.</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Not every problem with a result is a problem with the patient — sometimes the specimen itself is compromised before it ever reaches analysis, through haemolysis, clotting, insufficient volume, or a dozen other pre-analytical issues that have nothing to do with the patient's actual physiology. Treating a compromised specimen's result as clinically meaningful — rather than recognising it needs a rerun or outright rejection — is exactly how a laboratory produces a misleading result that looks legitimate on paper but reflects a specimen problem, not a patient's true condition. This lesson is about correctly recognising which category a problem falls into and responding with the right structured action.</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The four legitimate reasons to rerun: QC outside acceptable range, delta-check fail without clinical explanation, validator rejection, and a sample condition issue discovered after analysis.</w:t>
      </w:r>
    </w:p>
    <w:p>
      <w:pPr>
        <w:pStyle w:val="ListParagraph"/>
        <w:numPr>
          <w:ilvl w:val="0"/>
          <w:numId w:val="3"/>
        </w:numPr>
        <w:spacing w:after="90"/>
      </w:pPr>
      <w:r>
        <w:rPr>
          <w:rFonts w:ascii="Calibri" w:cs="Calibri" w:eastAsia="Calibri" w:hAnsi="Calibri"/>
          <w:color w:val="5C6678"/>
          <w:sz w:val="21"/>
          <w:szCs w:val="21"/>
        </w:rPr>
        <w:t xml:space="preserve">The rerun action: mandatory reason selection, the original value preserved (struck through), a new entry started, and the no-extra-charge policy within 24 hours.</w:t>
      </w:r>
    </w:p>
    <w:p>
      <w:pPr>
        <w:pStyle w:val="ListParagraph"/>
        <w:numPr>
          <w:ilvl w:val="0"/>
          <w:numId w:val="3"/>
        </w:numPr>
        <w:spacing w:after="90"/>
      </w:pPr>
      <w:r>
        <w:rPr>
          <w:rFonts w:ascii="Calibri" w:cs="Calibri" w:eastAsia="Calibri" w:hAnsi="Calibri"/>
          <w:color w:val="5C6678"/>
          <w:sz w:val="21"/>
          <w:szCs w:val="21"/>
        </w:rPr>
        <w:t xml:space="preserve">The seven sample-rejection reasons: haemolysed, lipaemic, clotted, wrong tube, insufficient volume, unlabelled/mislabelled, and delay beyond stability window.</w:t>
      </w:r>
    </w:p>
    <w:p>
      <w:pPr>
        <w:pStyle w:val="ListParagraph"/>
        <w:numPr>
          <w:ilvl w:val="0"/>
          <w:numId w:val="3"/>
        </w:numPr>
        <w:spacing w:after="90"/>
      </w:pPr>
      <w:r>
        <w:rPr>
          <w:rFonts w:ascii="Calibri" w:cs="Calibri" w:eastAsia="Calibri" w:hAnsi="Calibri"/>
          <w:color w:val="5C6678"/>
          <w:sz w:val="21"/>
          <w:szCs w:val="21"/>
        </w:rPr>
        <w:t xml:space="preserve">The rejection workflow: scientist-entered reason, patient notification with apology, and free re-collection within 48 hours.</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Recognising the four legitimate reasons to rerun</w:t>
      </w:r>
    </w:p>
    <w:p>
      <w:pPr>
        <w:spacing w:after="160"/>
      </w:pPr>
      <w:r>
        <w:rPr>
          <w:rFonts w:ascii="Calibri" w:cs="Calibri" w:eastAsia="Calibri" w:hAnsi="Calibri"/>
          <w:color w:val="5C6678"/>
          <w:sz w:val="21"/>
          <w:szCs w:val="21"/>
        </w:rPr>
        <w:t xml:space="preserve">A rerun is appropriate in exactly four situations. First, when quality control for the analytical batch falls outside its acceptable range — meaning the analyser itself wasn't performing reliably for that run, independent of the specific patient sample. Second, when a delta-check fails (the 30%-plus change from a recent result, introduced in Module 3) without a clinical explanation that would justify it — the rerun is how a scientist verifies whether the unusual change is real or an error. Third, when a second-person validator explicitly rejects an entered result, sending it back rather than approving it. Fourth, when a sample condition issue — haemolysis, lipaemia — is discovered only after the analysis has already run, meaning the original result's validity is now in question. Each of these is a distinct, legitimate trigger, and recognising which one applies is part of correctly documenting the rerun.</w:t>
      </w:r>
    </w:p>
    <w:p>
      <w:pPr>
        <w:spacing w:after="100" w:before="220"/>
      </w:pPr>
      <w:r>
        <w:rPr>
          <w:rFonts w:ascii="Calibri" w:cs="Calibri" w:eastAsia="Calibri" w:hAnsi="Calibri"/>
          <w:b/>
          <w:bCs/>
          <w:color w:val="0E1F33"/>
          <w:sz w:val="20"/>
          <w:szCs w:val="20"/>
        </w:rPr>
        <w:t xml:space="preserve">Performing a rerun correctly</w:t>
      </w:r>
    </w:p>
    <w:p>
      <w:pPr>
        <w:spacing w:after="160"/>
      </w:pPr>
      <w:r>
        <w:rPr>
          <w:rFonts w:ascii="Calibri" w:cs="Calibri" w:eastAsia="Calibri" w:hAnsi="Calibri"/>
          <w:color w:val="5C6678"/>
          <w:sz w:val="21"/>
          <w:szCs w:val="21"/>
        </w:rPr>
        <w:t xml:space="preserve">Clicking Rerun on a result requires selecting a reason from a dropdown — and this selection is mandatory, not optional, and is visible on the audit log, directly connecting to this module's Key Concepts point about documentation removing reliance on memory. The original value is preserved, struck through rather than deleted, maintaining a complete record of what was originally entered even as a new entry begins — this matters because a struck-through, visible original value lets anyone reviewing the record later see exactly what happened, not just the final accepted value. Reruns performed within 24 hours carry no extra charge to the patient, reflecting that the rerun is correcting a laboratory or specimen-quality issue, not asking the patient to pay again for a problem that wasn't their fault.</w:t>
      </w:r>
    </w:p>
    <w:p>
      <w:pPr>
        <w:spacing w:after="100" w:before="220"/>
      </w:pPr>
      <w:r>
        <w:rPr>
          <w:rFonts w:ascii="Calibri" w:cs="Calibri" w:eastAsia="Calibri" w:hAnsi="Calibri"/>
          <w:b/>
          <w:bCs/>
          <w:color w:val="0E1F33"/>
          <w:sz w:val="20"/>
          <w:szCs w:val="20"/>
        </w:rPr>
        <w:t xml:space="preserve">Recognising the seven legitimate rejection reasons</w:t>
      </w:r>
    </w:p>
    <w:p>
      <w:pPr>
        <w:spacing w:after="160"/>
      </w:pPr>
      <w:r>
        <w:rPr>
          <w:rFonts w:ascii="Calibri" w:cs="Calibri" w:eastAsia="Calibri" w:hAnsi="Calibri"/>
          <w:color w:val="5C6678"/>
          <w:sz w:val="21"/>
          <w:szCs w:val="21"/>
        </w:rPr>
        <w:t xml:space="preserve">Rejection is the more severe response, used when a sample's quality issue means no result should be reported at all — and LabOS recognises seven specific reasons, each tied to a real analytical or identity problem. Haemolysed samples interfere with potassium, LDH, AST, and several other enzyme measurements. Lipaemic samples interfere with photometric assays generally. Clotted samples — typically an EDTA tube that clotted before analysis — cannot be processed correctly for tests requiring whole blood. Wrong tube means the wrong collection tube was used for the requested test, for example EDTA blood sent for a test requiring serum chemistry. Insufficient volume means less than the minimum required quantity was collected for the requested tests. Unlabelled or mislabelled samples cannot have the patient's identity confirmed with confidence — directly connecting back to Module 3's emphasis on barcode-at-the-moment-of-draw labelling discipline. And delay beyond stability window covers situations like potassium being analysed more than four hours after collection, when the analyte itself may have degraded or shifted in the tube.</w:t>
      </w:r>
    </w:p>
    <w:p>
      <w:pPr>
        <w:spacing w:after="100" w:before="220"/>
      </w:pPr>
      <w:r>
        <w:rPr>
          <w:rFonts w:ascii="Calibri" w:cs="Calibri" w:eastAsia="Calibri" w:hAnsi="Calibri"/>
          <w:b/>
          <w:bCs/>
          <w:color w:val="0E1F33"/>
          <w:sz w:val="20"/>
          <w:szCs w:val="20"/>
        </w:rPr>
        <w:t xml:space="preserve">What happens after a rejection</w:t>
      </w:r>
    </w:p>
    <w:p>
      <w:pPr>
        <w:spacing w:after="160"/>
      </w:pPr>
      <w:r>
        <w:rPr>
          <w:rFonts w:ascii="Calibri" w:cs="Calibri" w:eastAsia="Calibri" w:hAnsi="Calibri"/>
          <w:color w:val="5C6678"/>
          <w:sz w:val="21"/>
          <w:szCs w:val="21"/>
        </w:rPr>
        <w:t xml:space="preserve">The receiving scientist rejects the sample with the specific matching reason, the patient is notified — with an apology, reflecting that a rejection is generally an organisational or procedural shortfall rather than something the patient did wrong — and is asked to return for re-collection. Re-collection within 48 hours is provided free of charge, the same no-extra-cost principle applied to reruns, reinforcing that a rejection due to a collection or labelling problem shouldn't become an additional financial burden on the patient.</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Select the rerun or rejection reason that genuinely matches what happened, even when a faster or more convenient option is available in the dropdown.</w:t>
      </w:r>
    </w:p>
    <w:p>
      <w:pPr>
        <w:pStyle w:val="ListParagraph"/>
        <w:numPr>
          <w:ilvl w:val="0"/>
          <w:numId w:val="3"/>
        </w:numPr>
        <w:spacing w:after="90"/>
      </w:pPr>
      <w:r>
        <w:rPr>
          <w:rFonts w:ascii="Calibri" w:cs="Calibri" w:eastAsia="Calibri" w:hAnsi="Calibri"/>
          <w:color w:val="5C6678"/>
          <w:sz w:val="21"/>
          <w:szCs w:val="21"/>
        </w:rPr>
        <w:t xml:space="preserve">When a sample condition issue is discovered after analysis, rerun promptly rather than letting a questionable result sit in the system unaddressed.</w:t>
      </w:r>
    </w:p>
    <w:p>
      <w:pPr>
        <w:pStyle w:val="ListParagraph"/>
        <w:numPr>
          <w:ilvl w:val="0"/>
          <w:numId w:val="3"/>
        </w:numPr>
        <w:spacing w:after="90"/>
      </w:pPr>
      <w:r>
        <w:rPr>
          <w:rFonts w:ascii="Calibri" w:cs="Calibri" w:eastAsia="Calibri" w:hAnsi="Calibri"/>
          <w:color w:val="5C6678"/>
          <w:sz w:val="21"/>
          <w:szCs w:val="21"/>
        </w:rPr>
        <w:t xml:space="preserve">When notifying a patient of a rejection, include the apology and clear next steps (free re-collection within 48 hours) as standard practice, not an afterthought.</w:t>
      </w:r>
    </w:p>
    <w:p>
      <w:pPr>
        <w:pStyle w:val="ListParagraph"/>
        <w:numPr>
          <w:ilvl w:val="0"/>
          <w:numId w:val="3"/>
        </w:numPr>
        <w:spacing w:after="90"/>
      </w:pPr>
      <w:r>
        <w:rPr>
          <w:rFonts w:ascii="Calibri" w:cs="Calibri" w:eastAsia="Calibri" w:hAnsi="Calibri"/>
          <w:color w:val="5C6678"/>
          <w:sz w:val="21"/>
          <w:szCs w:val="21"/>
        </w:rPr>
        <w:t xml:space="preserve">Review rerun and rejection patterns periodically — a recurring rejection reason from one collection point may point to a training or process issue worth addressing directly.</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Treating a delta-check failure as automatically requiring a rerun without first considering whether a genuine clinical explanation accounts for the change.</w:t>
      </w:r>
    </w:p>
    <w:p>
      <w:pPr>
        <w:pStyle w:val="ListParagraph"/>
        <w:numPr>
          <w:ilvl w:val="0"/>
          <w:numId w:val="3"/>
        </w:numPr>
        <w:spacing w:after="90"/>
      </w:pPr>
      <w:r>
        <w:rPr>
          <w:rFonts w:ascii="Calibri" w:cs="Calibri" w:eastAsia="Calibri" w:hAnsi="Calibri"/>
          <w:color w:val="5C6678"/>
          <w:sz w:val="21"/>
          <w:szCs w:val="21"/>
        </w:rPr>
        <w:t xml:space="preserve">Selecting a convenient or approximate rejection reason rather than the one that accurately reflects the actual sample problem.</w:t>
      </w:r>
    </w:p>
    <w:p>
      <w:pPr>
        <w:pStyle w:val="ListParagraph"/>
        <w:numPr>
          <w:ilvl w:val="0"/>
          <w:numId w:val="3"/>
        </w:numPr>
        <w:spacing w:after="90"/>
      </w:pPr>
      <w:r>
        <w:rPr>
          <w:rFonts w:ascii="Calibri" w:cs="Calibri" w:eastAsia="Calibri" w:hAnsi="Calibri"/>
          <w:color w:val="5C6678"/>
          <w:sz w:val="21"/>
          <w:szCs w:val="21"/>
        </w:rPr>
        <w:t xml:space="preserve">Forgetting that reruns and re-collections within their respective free windows (24 hours, 48 hours) should not be charged to the patient.</w:t>
      </w:r>
    </w:p>
    <w:p>
      <w:pPr>
        <w:pStyle w:val="ListParagraph"/>
        <w:numPr>
          <w:ilvl w:val="0"/>
          <w:numId w:val="3"/>
        </w:numPr>
        <w:spacing w:after="90"/>
      </w:pPr>
      <w:r>
        <w:rPr>
          <w:rFonts w:ascii="Calibri" w:cs="Calibri" w:eastAsia="Calibri" w:hAnsi="Calibri"/>
          <w:color w:val="5C6678"/>
          <w:sz w:val="21"/>
          <w:szCs w:val="21"/>
        </w:rPr>
        <w:t xml:space="preserve">Failing to notice a pattern of repeated rejections from the same source, missing an opportunity to address an underlying training or process gap.</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7.2 — DISTINGUISH RERUN FROM REJECTION</w:t>
            </w:r>
          </w:p>
          <w:p>
            <w:r>
              <w:rPr>
                <w:rFonts w:ascii="Calibri" w:cs="Calibri" w:eastAsia="Calibri" w:hAnsi="Calibri"/>
                <w:i/>
                <w:iCs/>
                <w:color w:val="0E1F33"/>
                <w:sz w:val="21"/>
                <w:szCs w:val="21"/>
              </w:rPr>
              <w:t xml:space="preserve">For each of the following five scenarios, decide whether a rerun or a rejection is the correct response, and name the specific reason code you would select: (1) a QC control fell outside range for the analytical batch; (2) a tube arrives visibly clotted; (3) a potassium result is delta-check flagged with no clinical explanation; (4) a sample was collected in the wrong tube type for the requested test; (5) a validator rejects an entered result with a stated concern. In a sandbox LabOS environment, perform one rerun and one rejection, confirming the mandatory reason-code selection in each case and noting how the original value is preserved in the rerun case.</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A delta-check warning fires on a result, and the scientist can find no clinical reason for the 40% change from the patient's last result. What is the correct response?</w:t>
      </w:r>
    </w:p>
    <w:p>
      <w:pPr>
        <w:spacing w:after="60"/>
      </w:pPr>
      <w:r>
        <w:rPr>
          <w:rFonts w:ascii="Calibri" w:cs="Calibri" w:eastAsia="Calibri" w:hAnsi="Calibri"/>
          <w:color w:val="5C6678"/>
          <w:sz w:val="20"/>
          <w:szCs w:val="20"/>
        </w:rPr>
        <w:t xml:space="preserve">Initiate a rerun, selecting "delta-check fail without clinical explanation" as the reason — this is one of the four legitimate rerun triggers, used specifically to verify whether an unexplained large change is a genuine result or an error, before the value is trusted and released.</w:t>
      </w:r>
    </w:p>
    <w:p>
      <w:pPr>
        <w:spacing w:after="50" w:before="140"/>
      </w:pPr>
      <w:r>
        <w:rPr>
          <w:rFonts w:ascii="Calibri" w:cs="Calibri" w:eastAsia="Calibri" w:hAnsi="Calibri"/>
          <w:b/>
          <w:bCs/>
          <w:color w:val="0E1F33"/>
          <w:sz w:val="21"/>
          <w:szCs w:val="21"/>
        </w:rPr>
        <w:t xml:space="preserve">2. Why is a haemolysed sample rejected rather than simply flagged with a comment and reported anyway?</w:t>
      </w:r>
    </w:p>
    <w:p>
      <w:pPr>
        <w:spacing w:after="60"/>
      </w:pPr>
      <w:r>
        <w:rPr>
          <w:rFonts w:ascii="Calibri" w:cs="Calibri" w:eastAsia="Calibri" w:hAnsi="Calibri"/>
          <w:color w:val="5C6678"/>
          <w:sz w:val="20"/>
          <w:szCs w:val="20"/>
        </w:rPr>
        <w:t xml:space="preserve">Because haemolysis genuinely interferes with the accuracy of several specific measurements (potassium, LDH, AST, and others) — reporting a result from a haemolysed sample risks reporting a number that doesn't reflect the patient's true physiological state, which is a more serious problem than the inconvenience of asking for re-collection.</w:t>
      </w:r>
    </w:p>
    <w:p>
      <w:pPr>
        <w:spacing w:after="50" w:before="140"/>
      </w:pPr>
      <w:r>
        <w:rPr>
          <w:rFonts w:ascii="Calibri" w:cs="Calibri" w:eastAsia="Calibri" w:hAnsi="Calibri"/>
          <w:b/>
          <w:bCs/>
          <w:color w:val="0E1F33"/>
          <w:sz w:val="21"/>
          <w:szCs w:val="21"/>
        </w:rPr>
        <w:t xml:space="preserve">3. Why are reruns within 24 hours and re-collections within 48 hours both provided to the patient at no extra charge?</w:t>
      </w:r>
    </w:p>
    <w:p>
      <w:pPr>
        <w:spacing w:after="60"/>
      </w:pPr>
      <w:r>
        <w:rPr>
          <w:rFonts w:ascii="Calibri" w:cs="Calibri" w:eastAsia="Calibri" w:hAnsi="Calibri"/>
          <w:color w:val="5C6678"/>
          <w:sz w:val="20"/>
          <w:szCs w:val="20"/>
        </w:rPr>
        <w:t xml:space="preserve">Because both situations generally reflect a laboratory or specimen-quality issue rather than something the patient did wrong, so it would be inappropriate to charge the patient again for a problem that originated on the laboratory's or sample-collection side, not the patient's.</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7.2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"When Something's Wrong With the Sample: Reruns and Rejections" — CLA Module 7, Lesson 2</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correctly distinguish rerun-appropriate from rejection-appropriate situations and execute both with correct documentation.</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9–10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structured around contrasting rerun and rejection side by side</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6"/>
        </w:numPr>
        <w:spacing w:after="90"/>
      </w:pPr>
      <w:r>
        <w:rPr>
          <w:rFonts w:ascii="Calibri" w:cs="Calibri" w:eastAsia="Calibri" w:hAnsi="Calibri"/>
          <w:color w:val="5C6678"/>
          <w:sz w:val="21"/>
          <w:szCs w:val="21"/>
        </w:rPr>
        <w:t xml:space="preserve">Cold open (0:00–0:35) — "Sometimes it's not the patient's result that's the problem — it's the sample itself. Here's how to tell the difference."</w:t>
      </w:r>
    </w:p>
    <w:p>
      <w:pPr>
        <w:pStyle w:val="ListParagraph"/>
        <w:numPr>
          <w:ilvl w:val="0"/>
          <w:numId w:val="6"/>
        </w:numPr>
        <w:spacing w:after="90"/>
      </w:pPr>
      <w:r>
        <w:rPr>
          <w:rFonts w:ascii="Calibri" w:cs="Calibri" w:eastAsia="Calibri" w:hAnsi="Calibri"/>
          <w:color w:val="5C6678"/>
          <w:sz w:val="21"/>
          <w:szCs w:val="21"/>
        </w:rPr>
        <w:t xml:space="preserve">The four rerun triggers, each briefly illustrated (0:35–2:30).</w:t>
      </w:r>
    </w:p>
    <w:p>
      <w:pPr>
        <w:pStyle w:val="ListParagraph"/>
        <w:numPr>
          <w:ilvl w:val="0"/>
          <w:numId w:val="6"/>
        </w:numPr>
        <w:spacing w:after="90"/>
      </w:pPr>
      <w:r>
        <w:rPr>
          <w:rFonts w:ascii="Calibri" w:cs="Calibri" w:eastAsia="Calibri" w:hAnsi="Calibri"/>
          <w:color w:val="5C6678"/>
          <w:sz w:val="21"/>
          <w:szCs w:val="21"/>
        </w:rPr>
        <w:t xml:space="preserve">Live rerun demo: mandatory reason selection, the struck-through original value (2:30–4:00).</w:t>
      </w:r>
    </w:p>
    <w:p>
      <w:pPr>
        <w:pStyle w:val="ListParagraph"/>
        <w:numPr>
          <w:ilvl w:val="0"/>
          <w:numId w:val="6"/>
        </w:numPr>
        <w:spacing w:after="90"/>
      </w:pPr>
      <w:r>
        <w:rPr>
          <w:rFonts w:ascii="Calibri" w:cs="Calibri" w:eastAsia="Calibri" w:hAnsi="Calibri"/>
          <w:color w:val="5C6678"/>
          <w:sz w:val="21"/>
          <w:szCs w:val="21"/>
        </w:rPr>
        <w:t xml:space="preserve">The seven rejection reasons, each with its specific interference mechanism explained (4:00–6:30).</w:t>
      </w:r>
    </w:p>
    <w:p>
      <w:pPr>
        <w:pStyle w:val="ListParagraph"/>
        <w:numPr>
          <w:ilvl w:val="0"/>
          <w:numId w:val="6"/>
        </w:numPr>
        <w:spacing w:after="90"/>
      </w:pPr>
      <w:r>
        <w:rPr>
          <w:rFonts w:ascii="Calibri" w:cs="Calibri" w:eastAsia="Calibri" w:hAnsi="Calibri"/>
          <w:color w:val="5C6678"/>
          <w:sz w:val="21"/>
          <w:szCs w:val="21"/>
        </w:rPr>
        <w:t xml:space="preserve">Live rejection demo: reason selection, patient notification, free re-collection window (6:30–8:00).</w:t>
      </w:r>
    </w:p>
    <w:p>
      <w:pPr>
        <w:pStyle w:val="ListParagraph"/>
        <w:numPr>
          <w:ilvl w:val="0"/>
          <w:numId w:val="6"/>
        </w:numPr>
        <w:spacing w:after="90"/>
      </w:pPr>
      <w:r>
        <w:rPr>
          <w:rFonts w:ascii="Calibri" w:cs="Calibri" w:eastAsia="Calibri" w:hAnsi="Calibri"/>
          <w:color w:val="5C6678"/>
          <w:sz w:val="21"/>
          <w:szCs w:val="21"/>
        </w:rPr>
        <w:t xml:space="preserve">Close + transition to Lesson 7.3 (8:00–end).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Frame the core distinction early and simply: "Rerun means we think the result might be wrong — rejection means we know the sample can't give us a trustworthy result at all."</w:t>
      </w:r>
    </w:p>
    <w:p>
      <w:pPr>
        <w:pStyle w:val="ListParagraph"/>
        <w:numPr>
          <w:ilvl w:val="0"/>
          <w:numId w:val="3"/>
        </w:numPr>
        <w:spacing w:after="90"/>
      </w:pPr>
      <w:r>
        <w:rPr>
          <w:rFonts w:ascii="Calibri" w:cs="Calibri" w:eastAsia="Calibri" w:hAnsi="Calibri"/>
          <w:color w:val="5C6678"/>
          <w:sz w:val="21"/>
          <w:szCs w:val="21"/>
        </w:rPr>
        <w:t xml:space="preserve">For each of the seven rejection reasons, briefly state the actual interference mechanism, not just the name: "Haemolysed — that's not just a label, it genuinely throws off potassium and a handful of enzyme results."</w:t>
      </w:r>
    </w:p>
    <w:p>
      <w:pPr>
        <w:pStyle w:val="ListParagraph"/>
        <w:numPr>
          <w:ilvl w:val="0"/>
          <w:numId w:val="3"/>
        </w:numPr>
        <w:spacing w:after="90"/>
      </w:pPr>
      <w:r>
        <w:rPr>
          <w:rFonts w:ascii="Calibri" w:cs="Calibri" w:eastAsia="Calibri" w:hAnsi="Calibri"/>
          <w:color w:val="5C6678"/>
          <w:sz w:val="21"/>
          <w:szCs w:val="21"/>
        </w:rPr>
        <w:t xml:space="preserve">At the rerun demo, point at the struck-through original value explicitly: "Notice the original number is still right there, just crossed out — nothing about this gets hidden."</w:t>
      </w:r>
    </w:p>
    <w:p>
      <w:pPr>
        <w:pStyle w:val="ListParagraph"/>
        <w:numPr>
          <w:ilvl w:val="0"/>
          <w:numId w:val="3"/>
        </w:numPr>
        <w:spacing w:after="90"/>
      </w:pPr>
      <w:r>
        <w:rPr>
          <w:rFonts w:ascii="Calibri" w:cs="Calibri" w:eastAsia="Calibri" w:hAnsi="Calibri"/>
          <w:color w:val="5C6678"/>
          <w:sz w:val="21"/>
          <w:szCs w:val="21"/>
        </w:rPr>
        <w:t xml:space="preserve">At patient notification, emphasise tone: "An apology here matters — this usually isn't the patient's fault, and the message should reflect that."</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7"/>
        </w:numPr>
        <w:spacing w:after="90"/>
      </w:pPr>
      <w:r>
        <w:rPr>
          <w:rFonts w:ascii="Calibri" w:cs="Calibri" w:eastAsia="Calibri" w:hAnsi="Calibri"/>
          <w:color w:val="5C6678"/>
          <w:sz w:val="21"/>
          <w:szCs w:val="21"/>
        </w:rPr>
        <w:t xml:space="preserve">Open a sandbox result, click Rerun, select "delta-check fail without clinical explanation" from the dropdown, show the struck-through original value and new entry field.</w:t>
      </w:r>
    </w:p>
    <w:p>
      <w:pPr>
        <w:pStyle w:val="ListParagraph"/>
        <w:numPr>
          <w:ilvl w:val="0"/>
          <w:numId w:val="7"/>
        </w:numPr>
        <w:spacing w:after="90"/>
      </w:pPr>
      <w:r>
        <w:rPr>
          <w:rFonts w:ascii="Calibri" w:cs="Calibri" w:eastAsia="Calibri" w:hAnsi="Calibri"/>
          <w:color w:val="5C6678"/>
          <w:sz w:val="21"/>
          <w:szCs w:val="21"/>
        </w:rPr>
        <w:t xml:space="preserve">Open a separate sandbox sample, click Reject, select "Haemolysed," show the resulting patient-notification draft including the apology language.</w:t>
      </w:r>
    </w:p>
    <w:p>
      <w:pPr>
        <w:pStyle w:val="ListParagraph"/>
        <w:numPr>
          <w:ilvl w:val="0"/>
          <w:numId w:val="7"/>
        </w:numPr>
        <w:spacing w:after="90"/>
      </w:pPr>
      <w:r>
        <w:rPr>
          <w:rFonts w:ascii="Calibri" w:cs="Calibri" w:eastAsia="Calibri" w:hAnsi="Calibri"/>
          <w:color w:val="5C6678"/>
          <w:sz w:val="21"/>
          <w:szCs w:val="21"/>
        </w:rPr>
        <w:t xml:space="preserve">Show the free re-collection window indicator (48 hours) on the rejected sample's record.</w:t>
      </w:r>
    </w:p>
    <w:p>
      <w:pPr>
        <w:pStyle w:val="ListParagraph"/>
        <w:numPr>
          <w:ilvl w:val="0"/>
          <w:numId w:val="7"/>
        </w:numPr>
        <w:spacing w:after="90"/>
      </w:pPr>
      <w:r>
        <w:rPr>
          <w:rFonts w:ascii="Calibri" w:cs="Calibri" w:eastAsia="Calibri" w:hAnsi="Calibri"/>
          <w:color w:val="5C6678"/>
          <w:sz w:val="21"/>
          <w:szCs w:val="21"/>
        </w:rPr>
        <w:t xml:space="preserve">Cut to a seven-item rejection-reason reference card, briefly highlighting each.</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Four rerun triggers: QC out of range, unexplained delta-check fail, validator rejection, post-analysis condition issue.</w:t>
      </w:r>
    </w:p>
    <w:p>
      <w:pPr>
        <w:pStyle w:val="ListParagraph"/>
        <w:numPr>
          <w:ilvl w:val="0"/>
          <w:numId w:val="3"/>
        </w:numPr>
        <w:spacing w:after="90"/>
      </w:pPr>
      <w:r>
        <w:rPr>
          <w:rFonts w:ascii="Calibri" w:cs="Calibri" w:eastAsia="Calibri" w:hAnsi="Calibri"/>
          <w:color w:val="5C6678"/>
          <w:sz w:val="21"/>
          <w:szCs w:val="21"/>
        </w:rPr>
        <w:t xml:space="preserve">Seven rejection reasons, each tied to a specific analytical or identity problem.</w:t>
      </w:r>
    </w:p>
    <w:p>
      <w:pPr>
        <w:pStyle w:val="ListParagraph"/>
        <w:numPr>
          <w:ilvl w:val="0"/>
          <w:numId w:val="3"/>
        </w:numPr>
        <w:spacing w:after="90"/>
      </w:pPr>
      <w:r>
        <w:rPr>
          <w:rFonts w:ascii="Calibri" w:cs="Calibri" w:eastAsia="Calibri" w:hAnsi="Calibri"/>
          <w:color w:val="5C6678"/>
          <w:sz w:val="21"/>
          <w:szCs w:val="21"/>
        </w:rPr>
        <w:t xml:space="preserve">Reason codes are mandatory and audit-logged for both reruns and rejections.</w:t>
      </w:r>
    </w:p>
    <w:p>
      <w:pPr>
        <w:pStyle w:val="ListParagraph"/>
        <w:numPr>
          <w:ilvl w:val="0"/>
          <w:numId w:val="3"/>
        </w:numPr>
        <w:spacing w:after="90"/>
      </w:pPr>
      <w:r>
        <w:rPr>
          <w:rFonts w:ascii="Calibri" w:cs="Calibri" w:eastAsia="Calibri" w:hAnsi="Calibri"/>
          <w:color w:val="5C6678"/>
          <w:sz w:val="21"/>
          <w:szCs w:val="21"/>
        </w:rPr>
        <w:t xml:space="preserve">Reruns (24hr) and re-collections (48hr) are free to the patient — it's not their fault.</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Side-by-side "Rerun" vs. "Rejection" decision graphic, with the four/seven reasons listed under each.</w:t>
      </w:r>
    </w:p>
    <w:p>
      <w:pPr>
        <w:pStyle w:val="ListParagraph"/>
        <w:numPr>
          <w:ilvl w:val="0"/>
          <w:numId w:val="3"/>
        </w:numPr>
        <w:spacing w:after="90"/>
      </w:pPr>
      <w:r>
        <w:rPr>
          <w:rFonts w:ascii="Calibri" w:cs="Calibri" w:eastAsia="Calibri" w:hAnsi="Calibri"/>
          <w:color w:val="5C6678"/>
          <w:sz w:val="21"/>
          <w:szCs w:val="21"/>
        </w:rPr>
        <w:t xml:space="preserve">Struck-through value example shown as a clean close-up screenshot during the rerun demo.</w:t>
      </w:r>
    </w:p>
    <w:p>
      <w:pPr>
        <w:pStyle w:val="ListParagraph"/>
        <w:numPr>
          <w:ilvl w:val="0"/>
          <w:numId w:val="3"/>
        </w:numPr>
        <w:spacing w:after="90"/>
      </w:pPr>
      <w:r>
        <w:rPr>
          <w:rFonts w:ascii="Calibri" w:cs="Calibri" w:eastAsia="Calibri" w:hAnsi="Calibri"/>
          <w:color w:val="5C6678"/>
          <w:sz w:val="21"/>
          <w:szCs w:val="21"/>
        </w:rPr>
        <w:t xml:space="preserve">Seven-rejection-reason reference card with a one-line interference mechanism under each, reusable as a downloadable resource.</w:t>
      </w:r>
    </w:p>
    <w:p>
      <w:r>
        <w:br w:type="page"/>
      </w:r>
    </w:p>
    <w:p>
      <w:pPr>
        <w:spacing w:after="60"/>
      </w:pPr>
      <w:r>
        <w:rPr>
          <w:rFonts w:ascii="Calibri" w:cs="Calibri" w:eastAsia="Calibri" w:hAnsi="Calibri"/>
          <w:b/>
          <w:bCs/>
          <w:color w:val="A8552E"/>
          <w:spacing w:val="14"/>
          <w:sz w:val="17"/>
          <w:szCs w:val="17"/>
        </w:rPr>
        <w:t xml:space="preserve">LESSON 7.3</w:t>
      </w:r>
    </w:p>
    <w:p>
      <w:pPr>
        <w:pStyle w:val="Heading1"/>
      </w:pPr>
      <w:r>
        <w:rPr>
          <w:rFonts w:ascii="Calibri" w:cs="Calibri" w:eastAsia="Calibri" w:hAnsi="Calibri"/>
        </w:rPr>
        <w:t xml:space="preserve">Operating at Scale: Turnaround Targets, Bulk Actions, and the Audit Trail</w:t>
      </w:r>
    </w:p>
    <w:p>
      <w:pPr>
        <w:spacing w:after="200"/>
      </w:pPr>
      <w:r>
        <w:rPr>
          <w:rFonts w:ascii="Calibri" w:cs="Calibri" w:eastAsia="Calibri" w:hAnsi="Calibri"/>
          <w:color w:val="5C6678"/>
          <w:sz w:val="23"/>
          <w:szCs w:val="23"/>
        </w:rPr>
        <w:t xml:space="preserve">The final lesson in this module shifts from individual exceptions to managing a laboratory's full operational volume — measuring performance against targets, acting efficiently across many requests at once, and maintaining a trustworthy record of everything that happened.</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turnaround-time targets by test category, using bulk operations correctly and safely, and understanding the audit trail in full depth. By the end, a learner should be able to interpret TAT performance against real targets, use bulk actions appropriately across Sample Tracking, Results Management, and Billing, and use the audit trail confidently for both routine troubleshooting and formal investigation.</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Everything covered in Module 3 and the first two lessons of this module assumed a focus on one request at a time — entirely appropriate for learning the underlying logic, but not how a real, busy laboratory actually operates day to day. A laboratory processing hundreds of requests daily needs tools built for that scale: a way to know objectively whether turnaround time is meeting expectations rather than just feeling slow, a way to act on many requests in a single deliberate action rather than hundreds of individual clicks, and a complete, trustworthy record of everything that happened across that volume, in case any of it is ever questioned.</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Default turnaround-time targets by test category: FBC/urinalysis/electrolytes (2 hours), routine chemistry/lipid/LFT/KFT (4 hours), hormones/tumour markers/serology (24 hours), microbiology cultures (48–72 hours), histopathology small specimen (5–7 days), histopathology complex/IHC (10–14 days), STAT (1 hour across the board).</w:t>
      </w:r>
    </w:p>
    <w:p>
      <w:pPr>
        <w:pStyle w:val="ListParagraph"/>
        <w:numPr>
          <w:ilvl w:val="0"/>
          <w:numId w:val="3"/>
        </w:numPr>
        <w:spacing w:after="90"/>
      </w:pPr>
      <w:r>
        <w:rPr>
          <w:rFonts w:ascii="Calibri" w:cs="Calibri" w:eastAsia="Calibri" w:hAnsi="Calibri"/>
          <w:color w:val="5C6678"/>
          <w:sz w:val="21"/>
          <w:szCs w:val="21"/>
        </w:rPr>
        <w:t xml:space="preserve">The Analytics page's median, p90, and p99 TAT reporting over a rolling 30-day window, and persistent-overshoot bottleneck flagging.</w:t>
      </w:r>
    </w:p>
    <w:p>
      <w:pPr>
        <w:pStyle w:val="ListParagraph"/>
        <w:numPr>
          <w:ilvl w:val="0"/>
          <w:numId w:val="3"/>
        </w:numPr>
        <w:spacing w:after="90"/>
      </w:pPr>
      <w:r>
        <w:rPr>
          <w:rFonts w:ascii="Calibri" w:cs="Calibri" w:eastAsia="Calibri" w:hAnsi="Calibri"/>
          <w:color w:val="5C6678"/>
          <w:sz w:val="21"/>
          <w:szCs w:val="21"/>
        </w:rPr>
        <w:t xml:space="preserve">Bulk selection via checkbox column or Shift-click range, and the resulting action bar.</w:t>
      </w:r>
    </w:p>
    <w:p>
      <w:pPr>
        <w:pStyle w:val="ListParagraph"/>
        <w:numPr>
          <w:ilvl w:val="0"/>
          <w:numId w:val="3"/>
        </w:numPr>
        <w:spacing w:after="90"/>
      </w:pPr>
      <w:r>
        <w:rPr>
          <w:rFonts w:ascii="Calibri" w:cs="Calibri" w:eastAsia="Calibri" w:hAnsi="Calibri"/>
          <w:color w:val="5C6678"/>
          <w:sz w:val="21"/>
          <w:szCs w:val="21"/>
        </w:rPr>
        <w:t xml:space="preserve">Bulk actions available per screen: Sample Tracking (bulk receive, bulk reject with shared reason), Results Management (bulk validate where permitted for every test, bulk re-print labels), Billing (bulk reminder SMS, bulk export to claim submission).</w:t>
      </w:r>
    </w:p>
    <w:p>
      <w:pPr>
        <w:pStyle w:val="ListParagraph"/>
        <w:numPr>
          <w:ilvl w:val="0"/>
          <w:numId w:val="3"/>
        </w:numPr>
        <w:spacing w:after="90"/>
      </w:pPr>
      <w:r>
        <w:rPr>
          <w:rFonts w:ascii="Calibri" w:cs="Calibri" w:eastAsia="Calibri" w:hAnsi="Calibri"/>
          <w:color w:val="5C6678"/>
          <w:sz w:val="21"/>
          <w:szCs w:val="21"/>
        </w:rPr>
        <w:t xml:space="preserve">What the audit trail records for every request: user, timestamp, IP, and previous value where applicable.</w:t>
      </w:r>
    </w:p>
    <w:p>
      <w:pPr>
        <w:pStyle w:val="ListParagraph"/>
        <w:numPr>
          <w:ilvl w:val="0"/>
          <w:numId w:val="3"/>
        </w:numPr>
        <w:spacing w:after="90"/>
      </w:pPr>
      <w:r>
        <w:rPr>
          <w:rFonts w:ascii="Calibri" w:cs="Calibri" w:eastAsia="Calibri" w:hAnsi="Calibri"/>
          <w:color w:val="5C6678"/>
          <w:sz w:val="21"/>
          <w:szCs w:val="21"/>
        </w:rPr>
        <w:t xml:space="preserve">Hash-chaining and why the trail cannot be edited or deleted by any user, including tenant admins.</w:t>
      </w:r>
    </w:p>
    <w:p>
      <w:pPr>
        <w:pStyle w:val="ListParagraph"/>
        <w:numPr>
          <w:ilvl w:val="0"/>
          <w:numId w:val="3"/>
        </w:numPr>
        <w:spacing w:after="90"/>
      </w:pPr>
      <w:r>
        <w:rPr>
          <w:rFonts w:ascii="Calibri" w:cs="Calibri" w:eastAsia="Calibri" w:hAnsi="Calibri"/>
          <w:color w:val="5C6678"/>
          <w:sz w:val="21"/>
          <w:szCs w:val="21"/>
        </w:rPr>
        <w:t xml:space="preserve">Filtering by user, action type, or date, and CSV export for offline review or court submission.</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Reading turnaround-time targets as real operational benchmarks</w:t>
      </w:r>
    </w:p>
    <w:p>
      <w:pPr>
        <w:spacing w:after="160"/>
      </w:pPr>
      <w:r>
        <w:rPr>
          <w:rFonts w:ascii="Calibri" w:cs="Calibri" w:eastAsia="Calibri" w:hAnsi="Calibri"/>
          <w:color w:val="5C6678"/>
          <w:sz w:val="21"/>
          <w:szCs w:val="21"/>
        </w:rPr>
        <w:t xml:space="preserve">LabOS ships with specific default TAT targets that vary meaningfully by test complexity: simple, fast tests like FBC, urinalysis, and electrolytes target 2 hours; routine chemistry, lipid profiles, liver and kidney function tests target 4 hours; hormones, tumour markers, and serology — generally requiring longer analytical processes — target 24 hours; microbiology cultures, which require actual biological growth time, target 48 to 72 hours; and histopathology, requiring physical tissue processing, targets 5 to 7 days for a small specimen and 10 to 14 days for a complex case requiring immunohistochemistry. STAT requests carry a uniform 1-hour target regardless of test type, reflecting the priority-displacement mechanic introduced in Module 3. Understanding these targets as varying by genuine analytical complexity — not as arbitrary numbers — is what lets an administrator judge whether a specific delay is actually a problem or simply reflects the real nature of that test.</w:t>
      </w:r>
    </w:p>
    <w:p>
      <w:pPr>
        <w:spacing w:after="100" w:before="220"/>
      </w:pPr>
      <w:r>
        <w:rPr>
          <w:rFonts w:ascii="Calibri" w:cs="Calibri" w:eastAsia="Calibri" w:hAnsi="Calibri"/>
          <w:b/>
          <w:bCs/>
          <w:color w:val="0E1F33"/>
          <w:sz w:val="20"/>
          <w:szCs w:val="20"/>
        </w:rPr>
        <w:t xml:space="preserve">Using Analytics to find genuine bottlenecks, not just slow days</w:t>
      </w:r>
    </w:p>
    <w:p>
      <w:pPr>
        <w:spacing w:after="160"/>
      </w:pPr>
      <w:r>
        <w:rPr>
          <w:rFonts w:ascii="Calibri" w:cs="Calibri" w:eastAsia="Calibri" w:hAnsi="Calibri"/>
          <w:color w:val="5C6678"/>
          <w:sz w:val="21"/>
          <w:szCs w:val="21"/>
        </w:rPr>
        <w:t xml:space="preserve">The Analytics page reports median, p90 (90th percentile), and p99 (99th percentile) turnaround time for each test category over the trailing 30 days — a more informative picture than a single average, since the p90 and p99 figures reveal how bad the worst cases actually are, even when the median looks acceptable. When a category consistently overshoots its target, the page flags it explicitly as a bottleneck, giving an administrator a specific, evidence-based signal to investigate — directly extending the stage-level tracking concept first introduced in Module 3, now applied across a full 30-day operational window rather than a single request.</w:t>
      </w:r>
    </w:p>
    <w:p>
      <w:pPr>
        <w:spacing w:after="100" w:before="220"/>
      </w:pPr>
      <w:r>
        <w:rPr>
          <w:rFonts w:ascii="Calibri" w:cs="Calibri" w:eastAsia="Calibri" w:hAnsi="Calibri"/>
          <w:b/>
          <w:bCs/>
          <w:color w:val="0E1F33"/>
          <w:sz w:val="20"/>
          <w:szCs w:val="20"/>
        </w:rPr>
        <w:t xml:space="preserve">Acting on many requests at once, safely</w:t>
      </w:r>
    </w:p>
    <w:p>
      <w:pPr>
        <w:spacing w:after="160"/>
      </w:pPr>
      <w:r>
        <w:rPr>
          <w:rFonts w:ascii="Calibri" w:cs="Calibri" w:eastAsia="Calibri" w:hAnsi="Calibri"/>
          <w:color w:val="5C6678"/>
          <w:sz w:val="21"/>
          <w:szCs w:val="21"/>
        </w:rPr>
        <w:t xml:space="preserve">In Sample Tracking, Results Management, and Billing, multiple rows can be selected using the checkbox column or by holding Shift and clicking a range — once selected, an action bar appears at the top offering bulk actions scoped to that screen. Sample Tracking supports bulk receive (marking multiple samples as arrived at the bench simultaneously) and bulk reject with a single shared reason. Results Management supports bulk validate, but only when the validating user holds permission for every single test in the selection — a safeguard preventing someone from bulk-approving a test type outside their actual authorisation — plus bulk re-print of labels. Billing supports bulk reminder SMS and bulk export to claim submission. The efficiency gain is real, but so is the consequence of a selection mistake: a bulk action multiplies whatever was selected, which is exactly why verifying the selection before confirming a bulk action matters more than it would for a single-row action.</w:t>
      </w:r>
    </w:p>
    <w:p>
      <w:pPr>
        <w:spacing w:after="100" w:before="220"/>
      </w:pPr>
      <w:r>
        <w:rPr>
          <w:rFonts w:ascii="Calibri" w:cs="Calibri" w:eastAsia="Calibri" w:hAnsi="Calibri"/>
          <w:b/>
          <w:bCs/>
          <w:color w:val="0E1F33"/>
          <w:sz w:val="20"/>
          <w:szCs w:val="20"/>
        </w:rPr>
        <w:t xml:space="preserve">Trusting and using the audit trail for every request</w:t>
      </w:r>
    </w:p>
    <w:p>
      <w:pPr>
        <w:spacing w:after="160"/>
      </w:pPr>
      <w:r>
        <w:rPr>
          <w:rFonts w:ascii="Calibri" w:cs="Calibri" w:eastAsia="Calibri" w:hAnsi="Calibri"/>
          <w:color w:val="5C6678"/>
          <w:sz w:val="21"/>
          <w:szCs w:val="21"/>
        </w:rPr>
        <w:t xml:space="preserve">Every action taken on a request is recorded with the acting user, a timestamp, the originating IP address, and — where applicable — the previous value before a change, extending the same audit-logging principle already established for patient records in Module 2 and tenant-wide actions in Module 4, now applied at the level of an individual request. The trail is hash-chained, exactly as covered for the tenant-wide audit log in Module 4: any attempt to alter or delete a past entry breaks the chain and is flagged, and this protection holds even against tenant administrators, with no user able to edit the trail. Opening Audit trail on any request allows filtering by user, action type, or date, and exporting to CSV — useful both for routine internal review and, when necessary, for formal submission as evidence in a court or regulatory proceeding.</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Judge turnaround-time performance against the specific target for that test category, not a single uniform expectation across all tests.</w:t>
      </w:r>
    </w:p>
    <w:p>
      <w:pPr>
        <w:pStyle w:val="ListParagraph"/>
        <w:numPr>
          <w:ilvl w:val="0"/>
          <w:numId w:val="3"/>
        </w:numPr>
        <w:spacing w:after="90"/>
      </w:pPr>
      <w:r>
        <w:rPr>
          <w:rFonts w:ascii="Calibri" w:cs="Calibri" w:eastAsia="Calibri" w:hAnsi="Calibri"/>
          <w:color w:val="5C6678"/>
          <w:sz w:val="21"/>
          <w:szCs w:val="21"/>
        </w:rPr>
        <w:t xml:space="preserve">Use p90 and p99 figures, not just the median, when assessing whether a category's worst-case performance is acceptable.</w:t>
      </w:r>
    </w:p>
    <w:p>
      <w:pPr>
        <w:pStyle w:val="ListParagraph"/>
        <w:numPr>
          <w:ilvl w:val="0"/>
          <w:numId w:val="3"/>
        </w:numPr>
        <w:spacing w:after="90"/>
      </w:pPr>
      <w:r>
        <w:rPr>
          <w:rFonts w:ascii="Calibri" w:cs="Calibri" w:eastAsia="Calibri" w:hAnsi="Calibri"/>
          <w:color w:val="5C6678"/>
          <w:sz w:val="21"/>
          <w:szCs w:val="21"/>
        </w:rPr>
        <w:t xml:space="preserve">Always verify a bulk selection carefully before confirming the action, especially during a busy or interrupted shift.</w:t>
      </w:r>
    </w:p>
    <w:p>
      <w:pPr>
        <w:pStyle w:val="ListParagraph"/>
        <w:numPr>
          <w:ilvl w:val="0"/>
          <w:numId w:val="3"/>
        </w:numPr>
        <w:spacing w:after="90"/>
      </w:pPr>
      <w:r>
        <w:rPr>
          <w:rFonts w:ascii="Calibri" w:cs="Calibri" w:eastAsia="Calibri" w:hAnsi="Calibri"/>
          <w:color w:val="5C6678"/>
          <w:sz w:val="21"/>
          <w:szCs w:val="21"/>
        </w:rPr>
        <w:t xml:space="preserve">Treat the audit trail as a routine troubleshooting tool, not only something to consult during a formal investigation.</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Comparing a slow-by-nature test category (like histopathology) against a fast-category target and concluding there's a problem where none exists.</w:t>
      </w:r>
    </w:p>
    <w:p>
      <w:pPr>
        <w:pStyle w:val="ListParagraph"/>
        <w:numPr>
          <w:ilvl w:val="0"/>
          <w:numId w:val="3"/>
        </w:numPr>
        <w:spacing w:after="90"/>
      </w:pPr>
      <w:r>
        <w:rPr>
          <w:rFonts w:ascii="Calibri" w:cs="Calibri" w:eastAsia="Calibri" w:hAnsi="Calibri"/>
          <w:color w:val="5C6678"/>
          <w:sz w:val="21"/>
          <w:szCs w:val="21"/>
        </w:rPr>
        <w:t xml:space="preserve">Relying only on median TAT and missing a genuinely concerning p99 figure that indicates a meaningful share of requests are taking much longer than acceptable.</w:t>
      </w:r>
    </w:p>
    <w:p>
      <w:pPr>
        <w:pStyle w:val="ListParagraph"/>
        <w:numPr>
          <w:ilvl w:val="0"/>
          <w:numId w:val="3"/>
        </w:numPr>
        <w:spacing w:after="90"/>
      </w:pPr>
      <w:r>
        <w:rPr>
          <w:rFonts w:ascii="Calibri" w:cs="Calibri" w:eastAsia="Calibri" w:hAnsi="Calibri"/>
          <w:color w:val="5C6678"/>
          <w:sz w:val="21"/>
          <w:szCs w:val="21"/>
        </w:rPr>
        <w:t xml:space="preserve">Confirming a bulk action without re-checking the actual selected rows, especially after being interrupted mid-selection.</w:t>
      </w:r>
    </w:p>
    <w:p>
      <w:pPr>
        <w:pStyle w:val="ListParagraph"/>
        <w:numPr>
          <w:ilvl w:val="0"/>
          <w:numId w:val="3"/>
        </w:numPr>
        <w:spacing w:after="90"/>
      </w:pPr>
      <w:r>
        <w:rPr>
          <w:rFonts w:ascii="Calibri" w:cs="Calibri" w:eastAsia="Calibri" w:hAnsi="Calibri"/>
          <w:color w:val="5C6678"/>
          <w:sz w:val="21"/>
          <w:szCs w:val="21"/>
        </w:rPr>
        <w:t xml:space="preserve">Assuming the audit trail is only relevant during a formal investigation, and not using it for everyday questions like "who validated this result, and when."</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7.3 — MANAGE AT SCALE</w:t>
            </w:r>
          </w:p>
          <w:p>
            <w:r>
              <w:rPr>
                <w:rFonts w:ascii="Calibri" w:cs="Calibri" w:eastAsia="Calibri" w:hAnsi="Calibri"/>
                <w:i/>
                <w:iCs/>
                <w:color w:val="0E1F33"/>
                <w:sz w:val="21"/>
                <w:szCs w:val="21"/>
              </w:rPr>
              <w:t xml:space="preserve">In a sandbox LabOS environment, open the Analytics page and identify the median, p90, and p99 turnaround time for two different test categories with genuinely different expected targets (for example, FBC versus a histopathology category). Write one sentence on whether either category appears to be a genuine bottleneck, based on its specific target rather than a generic expectation. In Sample Tracking, select multiple sandbox requests using Shift-click and perform a bulk receive action, verifying your selection before confirming. Finally, open the audit trail for one request you've worked with earlier in this program and identify at least three distinct logged actions, noting the user, timestamp, and any previous value shown.</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A histopathology result with immunohistochemistry takes 12 days to complete. Is this a turnaround-time problem?</w:t>
      </w:r>
    </w:p>
    <w:p>
      <w:pPr>
        <w:spacing w:after="60"/>
      </w:pPr>
      <w:r>
        <w:rPr>
          <w:rFonts w:ascii="Calibri" w:cs="Calibri" w:eastAsia="Calibri" w:hAnsi="Calibri"/>
          <w:color w:val="5C6678"/>
          <w:sz w:val="20"/>
          <w:szCs w:val="20"/>
        </w:rPr>
        <w:t xml:space="preserve">No, likely not — complex histopathology with IHC has a default target of 10 to 14 days, reflecting the genuine physical tissue-processing time required, so 12 days falls within the expected target rather than indicating a bottleneck; comparing it against a 2-hour FBC-style target would be the wrong benchmark entirely.</w:t>
      </w:r>
    </w:p>
    <w:p>
      <w:pPr>
        <w:spacing w:after="50" w:before="140"/>
      </w:pPr>
      <w:r>
        <w:rPr>
          <w:rFonts w:ascii="Calibri" w:cs="Calibri" w:eastAsia="Calibri" w:hAnsi="Calibri"/>
          <w:b/>
          <w:bCs/>
          <w:color w:val="0E1F33"/>
          <w:sz w:val="21"/>
          <w:szCs w:val="21"/>
        </w:rPr>
        <w:t xml:space="preserve">2. Why does Analytics report p90 and p99 turnaround times in addition to the median?</w:t>
      </w:r>
    </w:p>
    <w:p>
      <w:pPr>
        <w:spacing w:after="60"/>
      </w:pPr>
      <w:r>
        <w:rPr>
          <w:rFonts w:ascii="Calibri" w:cs="Calibri" w:eastAsia="Calibri" w:hAnsi="Calibri"/>
          <w:color w:val="5C6678"/>
          <w:sz w:val="20"/>
          <w:szCs w:val="20"/>
        </w:rPr>
        <w:t xml:space="preserve">Because the median can look acceptable even when a meaningful share of requests are taking much longer — p90 and p99 reveal how bad the worst-performing cases actually are, giving a more complete and honest picture of real-world performance than the median alone.</w:t>
      </w:r>
    </w:p>
    <w:p>
      <w:pPr>
        <w:spacing w:after="50" w:before="140"/>
      </w:pPr>
      <w:r>
        <w:rPr>
          <w:rFonts w:ascii="Calibri" w:cs="Calibri" w:eastAsia="Calibri" w:hAnsi="Calibri"/>
          <w:b/>
          <w:bCs/>
          <w:color w:val="0E1F33"/>
          <w:sz w:val="21"/>
          <w:szCs w:val="21"/>
        </w:rPr>
        <w:t xml:space="preserve">3. Why is bulk validation in Results Management restricted to cases where the validating user holds permission for every test in the selection?</w:t>
      </w:r>
    </w:p>
    <w:p>
      <w:pPr>
        <w:spacing w:after="60"/>
      </w:pPr>
      <w:r>
        <w:rPr>
          <w:rFonts w:ascii="Calibri" w:cs="Calibri" w:eastAsia="Calibri" w:hAnsi="Calibri"/>
          <w:color w:val="5C6678"/>
          <w:sz w:val="20"/>
          <w:szCs w:val="20"/>
        </w:rPr>
        <w:t xml:space="preserve">Because a bulk action otherwise multiplies the consequence of a permission gap — without this restriction, a user could potentially bulk-approve a test type they aren't individually authorised to validate, simply because it was included in a larger selection, which would defeat the purpose of the role-based validation permission established in earlier modules.</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7.3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"Operating at Scale: Turnaround Targets, Bulk Actions, and the Audit Trail" — CLA Module 7, Lesson 3</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interpret TAT performance correctly, use bulk operations safely, and use the audit trail confidently for troubleshooting and investigation.</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10–12 minutes (final video in this module, closing the workflow-exceptions foundation before Module 8)</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three connected segments (TAT / bulk actions / audit trail)</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8"/>
        </w:numPr>
        <w:spacing w:after="90"/>
      </w:pPr>
      <w:r>
        <w:rPr>
          <w:rFonts w:ascii="Calibri" w:cs="Calibri" w:eastAsia="Calibri" w:hAnsi="Calibri"/>
          <w:color w:val="5C6678"/>
          <w:sz w:val="21"/>
          <w:szCs w:val="21"/>
        </w:rPr>
        <w:t xml:space="preserve">Cold open (0:00–0:40) — "Everything so far in this program has been one request at a time. Today, we zoom out to the whole laboratory."</w:t>
      </w:r>
    </w:p>
    <w:p>
      <w:pPr>
        <w:pStyle w:val="ListParagraph"/>
        <w:numPr>
          <w:ilvl w:val="0"/>
          <w:numId w:val="8"/>
        </w:numPr>
        <w:spacing w:after="90"/>
      </w:pPr>
      <w:r>
        <w:rPr>
          <w:rFonts w:ascii="Calibri" w:cs="Calibri" w:eastAsia="Calibri" w:hAnsi="Calibri"/>
          <w:color w:val="5C6678"/>
          <w:sz w:val="21"/>
          <w:szCs w:val="21"/>
        </w:rPr>
        <w:t xml:space="preserve">TAT targets by category, shown as a reference table, with the genuine-complexity reasoning explained (0:40–2:30).</w:t>
      </w:r>
    </w:p>
    <w:p>
      <w:pPr>
        <w:pStyle w:val="ListParagraph"/>
        <w:numPr>
          <w:ilvl w:val="0"/>
          <w:numId w:val="8"/>
        </w:numPr>
        <w:spacing w:after="90"/>
      </w:pPr>
      <w:r>
        <w:rPr>
          <w:rFonts w:ascii="Calibri" w:cs="Calibri" w:eastAsia="Calibri" w:hAnsi="Calibri"/>
          <w:color w:val="5C6678"/>
          <w:sz w:val="21"/>
          <w:szCs w:val="21"/>
        </w:rPr>
        <w:t xml:space="preserve">Analytics demo: median, p90, p99, and a real bottleneck flag (2:30–4:30).</w:t>
      </w:r>
    </w:p>
    <w:p>
      <w:pPr>
        <w:pStyle w:val="ListParagraph"/>
        <w:numPr>
          <w:ilvl w:val="0"/>
          <w:numId w:val="8"/>
        </w:numPr>
        <w:spacing w:after="90"/>
      </w:pPr>
      <w:r>
        <w:rPr>
          <w:rFonts w:ascii="Calibri" w:cs="Calibri" w:eastAsia="Calibri" w:hAnsi="Calibri"/>
          <w:color w:val="5C6678"/>
          <w:sz w:val="21"/>
          <w:szCs w:val="21"/>
        </w:rPr>
        <w:t xml:space="preserve">Bulk selection and action demo across two screens (4:30–7:00).</w:t>
      </w:r>
    </w:p>
    <w:p>
      <w:pPr>
        <w:pStyle w:val="ListParagraph"/>
        <w:numPr>
          <w:ilvl w:val="0"/>
          <w:numId w:val="8"/>
        </w:numPr>
        <w:spacing w:after="90"/>
      </w:pPr>
      <w:r>
        <w:rPr>
          <w:rFonts w:ascii="Calibri" w:cs="Calibri" w:eastAsia="Calibri" w:hAnsi="Calibri"/>
          <w:color w:val="5C6678"/>
          <w:sz w:val="21"/>
          <w:szCs w:val="21"/>
        </w:rPr>
        <w:t xml:space="preserve">Audit trail deep dive: filtering, the hash-chain, and CSV export (7:00–9:30).</w:t>
      </w:r>
    </w:p>
    <w:p>
      <w:pPr>
        <w:pStyle w:val="ListParagraph"/>
        <w:numPr>
          <w:ilvl w:val="0"/>
          <w:numId w:val="8"/>
        </w:numPr>
        <w:spacing w:after="90"/>
      </w:pPr>
      <w:r>
        <w:rPr>
          <w:rFonts w:ascii="Calibri" w:cs="Calibri" w:eastAsia="Calibri" w:hAnsi="Calibri"/>
          <w:color w:val="5C6678"/>
          <w:sz w:val="21"/>
          <w:szCs w:val="21"/>
        </w:rPr>
        <w:t xml:space="preserve">Close + Module 7 wrap-up, transition to Module 8 (9:30–end).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At the TAT targets table, make the complexity reasoning explicit: "Twelve days isn't slow for this category — it's actually right on target, because tissue takes time to process no matter how good your team is."</w:t>
      </w:r>
    </w:p>
    <w:p>
      <w:pPr>
        <w:pStyle w:val="ListParagraph"/>
        <w:numPr>
          <w:ilvl w:val="0"/>
          <w:numId w:val="3"/>
        </w:numPr>
        <w:spacing w:after="90"/>
      </w:pPr>
      <w:r>
        <w:rPr>
          <w:rFonts w:ascii="Calibri" w:cs="Calibri" w:eastAsia="Calibri" w:hAnsi="Calibri"/>
          <w:color w:val="5C6678"/>
          <w:sz w:val="21"/>
          <w:szCs w:val="21"/>
        </w:rPr>
        <w:t xml:space="preserve">At p90/p99, use a concrete framing: "The median tells you about a typical request — p99 tells you about your worst day. You need both."</w:t>
      </w:r>
    </w:p>
    <w:p>
      <w:pPr>
        <w:pStyle w:val="ListParagraph"/>
        <w:numPr>
          <w:ilvl w:val="0"/>
          <w:numId w:val="3"/>
        </w:numPr>
        <w:spacing w:after="90"/>
      </w:pPr>
      <w:r>
        <w:rPr>
          <w:rFonts w:ascii="Calibri" w:cs="Calibri" w:eastAsia="Calibri" w:hAnsi="Calibri"/>
          <w:color w:val="5C6678"/>
          <w:sz w:val="21"/>
          <w:szCs w:val="21"/>
        </w:rPr>
        <w:t xml:space="preserve">Before confirming a bulk action on screen, narrate the verification step out loud: "Before I click this, let me actually check what's selected — this matters more the bigger the batch gets."</w:t>
      </w:r>
    </w:p>
    <w:p>
      <w:pPr>
        <w:pStyle w:val="ListParagraph"/>
        <w:numPr>
          <w:ilvl w:val="0"/>
          <w:numId w:val="3"/>
        </w:numPr>
        <w:spacing w:after="90"/>
      </w:pPr>
      <w:r>
        <w:rPr>
          <w:rFonts w:ascii="Calibri" w:cs="Calibri" w:eastAsia="Calibri" w:hAnsi="Calibri"/>
          <w:color w:val="5C6678"/>
          <w:sz w:val="21"/>
          <w:szCs w:val="21"/>
        </w:rPr>
        <w:t xml:space="preserve">At the audit trail, connect explicitly: "This is the same hash-chained protection from Module 4's tenant-wide log, now working at the level of a single request."</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9"/>
        </w:numPr>
        <w:spacing w:after="90"/>
      </w:pPr>
      <w:r>
        <w:rPr>
          <w:rFonts w:ascii="Calibri" w:cs="Calibri" w:eastAsia="Calibri" w:hAnsi="Calibri"/>
          <w:color w:val="5C6678"/>
          <w:sz w:val="21"/>
          <w:szCs w:val="21"/>
        </w:rPr>
        <w:t xml:space="preserve">Cut to a clean TAT-targets reference table by category.</w:t>
      </w:r>
    </w:p>
    <w:p>
      <w:pPr>
        <w:pStyle w:val="ListParagraph"/>
        <w:numPr>
          <w:ilvl w:val="0"/>
          <w:numId w:val="9"/>
        </w:numPr>
        <w:spacing w:after="90"/>
      </w:pPr>
      <w:r>
        <w:rPr>
          <w:rFonts w:ascii="Calibri" w:cs="Calibri" w:eastAsia="Calibri" w:hAnsi="Calibri"/>
          <w:color w:val="5C6678"/>
          <w:sz w:val="21"/>
          <w:szCs w:val="21"/>
        </w:rPr>
        <w:t xml:space="preserve">Open Analytics, show median/p90/p99 for two different categories, point to a bottleneck flag if present in sandbox data.</w:t>
      </w:r>
    </w:p>
    <w:p>
      <w:pPr>
        <w:pStyle w:val="ListParagraph"/>
        <w:numPr>
          <w:ilvl w:val="0"/>
          <w:numId w:val="9"/>
        </w:numPr>
        <w:spacing w:after="90"/>
      </w:pPr>
      <w:r>
        <w:rPr>
          <w:rFonts w:ascii="Calibri" w:cs="Calibri" w:eastAsia="Calibri" w:hAnsi="Calibri"/>
          <w:color w:val="5C6678"/>
          <w:sz w:val="21"/>
          <w:szCs w:val="21"/>
        </w:rPr>
        <w:t xml:space="preserve">Open Sample Tracking, select multiple rows via Shift-click, show the action bar, perform a bulk receive.</w:t>
      </w:r>
    </w:p>
    <w:p>
      <w:pPr>
        <w:pStyle w:val="ListParagraph"/>
        <w:numPr>
          <w:ilvl w:val="0"/>
          <w:numId w:val="9"/>
        </w:numPr>
        <w:spacing w:after="90"/>
      </w:pPr>
      <w:r>
        <w:rPr>
          <w:rFonts w:ascii="Calibri" w:cs="Calibri" w:eastAsia="Calibri" w:hAnsi="Calibri"/>
          <w:color w:val="5C6678"/>
          <w:sz w:val="21"/>
          <w:szCs w:val="21"/>
        </w:rPr>
        <w:t xml:space="preserve">Open Results Management, demonstrate the bulk-validate permission restriction (attempt with mixed test-type permissions if the sandbox allows).</w:t>
      </w:r>
    </w:p>
    <w:p>
      <w:pPr>
        <w:pStyle w:val="ListParagraph"/>
        <w:numPr>
          <w:ilvl w:val="0"/>
          <w:numId w:val="9"/>
        </w:numPr>
        <w:spacing w:after="90"/>
      </w:pPr>
      <w:r>
        <w:rPr>
          <w:rFonts w:ascii="Calibri" w:cs="Calibri" w:eastAsia="Calibri" w:hAnsi="Calibri"/>
          <w:color w:val="5C6678"/>
          <w:sz w:val="21"/>
          <w:szCs w:val="21"/>
        </w:rPr>
        <w:t xml:space="preserve">Open a request's audit trail, filter by action type and date, export to CSV, briefly show the resulting file.</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TAT targets vary by genuine test complexity — judge each category against its own target.</w:t>
      </w:r>
    </w:p>
    <w:p>
      <w:pPr>
        <w:pStyle w:val="ListParagraph"/>
        <w:numPr>
          <w:ilvl w:val="0"/>
          <w:numId w:val="3"/>
        </w:numPr>
        <w:spacing w:after="90"/>
      </w:pPr>
      <w:r>
        <w:rPr>
          <w:rFonts w:ascii="Calibri" w:cs="Calibri" w:eastAsia="Calibri" w:hAnsi="Calibri"/>
          <w:color w:val="5C6678"/>
          <w:sz w:val="21"/>
          <w:szCs w:val="21"/>
        </w:rPr>
        <w:t xml:space="preserve">Use p90/p99, not just the median, to see real worst-case performance.</w:t>
      </w:r>
    </w:p>
    <w:p>
      <w:pPr>
        <w:pStyle w:val="ListParagraph"/>
        <w:numPr>
          <w:ilvl w:val="0"/>
          <w:numId w:val="3"/>
        </w:numPr>
        <w:spacing w:after="90"/>
      </w:pPr>
      <w:r>
        <w:rPr>
          <w:rFonts w:ascii="Calibri" w:cs="Calibri" w:eastAsia="Calibri" w:hAnsi="Calibri"/>
          <w:color w:val="5C6678"/>
          <w:sz w:val="21"/>
          <w:szCs w:val="21"/>
        </w:rPr>
        <w:t xml:space="preserve">Bulk actions are efficient but multiply mistakes — verify your selection first.</w:t>
      </w:r>
    </w:p>
    <w:p>
      <w:pPr>
        <w:pStyle w:val="ListParagraph"/>
        <w:numPr>
          <w:ilvl w:val="0"/>
          <w:numId w:val="3"/>
        </w:numPr>
        <w:spacing w:after="90"/>
      </w:pPr>
      <w:r>
        <w:rPr>
          <w:rFonts w:ascii="Calibri" w:cs="Calibri" w:eastAsia="Calibri" w:hAnsi="Calibri"/>
          <w:color w:val="5C6678"/>
          <w:sz w:val="21"/>
          <w:szCs w:val="21"/>
        </w:rPr>
        <w:t xml:space="preserve">The audit trail is hash-chained, filterable, and exportable — use it routinely, not just during investigations.</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TAT-targets table as a clean, color-coded reference graphic by test category, reusable as a downloadable resource.</w:t>
      </w:r>
    </w:p>
    <w:p>
      <w:pPr>
        <w:pStyle w:val="ListParagraph"/>
        <w:numPr>
          <w:ilvl w:val="0"/>
          <w:numId w:val="3"/>
        </w:numPr>
        <w:spacing w:after="90"/>
      </w:pPr>
      <w:r>
        <w:rPr>
          <w:rFonts w:ascii="Calibri" w:cs="Calibri" w:eastAsia="Calibri" w:hAnsi="Calibri"/>
          <w:color w:val="5C6678"/>
          <w:sz w:val="21"/>
          <w:szCs w:val="21"/>
        </w:rPr>
        <w:t xml:space="preserve">Median/p90/p99 shown as a simple distribution graphic, illustrating how the three figures differ.</w:t>
      </w:r>
    </w:p>
    <w:p>
      <w:pPr>
        <w:pStyle w:val="ListParagraph"/>
        <w:numPr>
          <w:ilvl w:val="0"/>
          <w:numId w:val="3"/>
        </w:numPr>
        <w:spacing w:after="90"/>
      </w:pPr>
      <w:r>
        <w:rPr>
          <w:rFonts w:ascii="Calibri" w:cs="Calibri" w:eastAsia="Calibri" w:hAnsi="Calibri"/>
          <w:color w:val="5C6678"/>
          <w:sz w:val="21"/>
          <w:szCs w:val="21"/>
        </w:rPr>
        <w:t xml:space="preserve">Audit trail close-up with the hash-chain link visually highlighted between consecutive entries.</w:t>
      </w:r>
    </w:p>
    <w:p>
      <w:r>
        <w:br w:type="page"/>
      </w:r>
    </w:p>
    <w:p>
      <w:pPr>
        <w:spacing w:after="60"/>
      </w:pPr>
      <w:r>
        <w:rPr>
          <w:rFonts w:ascii="Calibri" w:cs="Calibri" w:eastAsia="Calibri" w:hAnsi="Calibri"/>
          <w:b/>
          <w:bCs/>
          <w:color w:val="A8552E"/>
          <w:spacing w:val="14"/>
          <w:sz w:val="17"/>
          <w:szCs w:val="17"/>
        </w:rPr>
        <w:t xml:space="preserve">MODULE 7</w:t>
      </w:r>
    </w:p>
    <w:p>
      <w:pPr>
        <w:pStyle w:val="Heading1"/>
      </w:pPr>
      <w:r>
        <w:rPr>
          <w:rFonts w:ascii="Calibri" w:cs="Calibri" w:eastAsia="Calibri" w:hAnsi="Calibri"/>
        </w:rPr>
        <w:t xml:space="preserve">Module Assessment Criteria</w:t>
      </w:r>
    </w:p>
    <w:p>
      <w:pPr>
        <w:spacing w:after="200"/>
      </w:pPr>
      <w:r>
        <w:rPr>
          <w:rFonts w:ascii="Calibri" w:cs="Calibri" w:eastAsia="Calibri" w:hAnsi="Calibri"/>
          <w:color w:val="5C6678"/>
          <w:sz w:val="23"/>
          <w:szCs w:val="23"/>
        </w:rPr>
        <w:t xml:space="preserve">Module 7 assessment confirms a learner can handle workflow exceptions correctly under realistic pressure and manage operations at real laboratory scale — not merely recognise these situations when described, but execute the correct response confidently.</w:t>
      </w:r>
    </w:p>
    <w:p>
      <w:pPr>
        <w:spacing w:after="80"/>
      </w:pPr>
    </w:p>
    <w:p>
      <w:pPr>
        <w:pStyle w:val="Heading2"/>
      </w:pPr>
      <w:r>
        <w:rPr>
          <w:rFonts w:ascii="Calibri" w:cs="Calibri" w:eastAsia="Calibri" w:hAnsi="Calibri"/>
        </w:rPr>
        <w:t xml:space="preserve">Assessment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KNOWLEDGE CHECKS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9 questions total (3 per lesson) — minimum 80% correct to pass</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PRACTICAL TASK</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Complete Exercise 7.3 (scale operations review) unaided in a sandbox environment, building on the critical-result and rerun/rejection handling from Exercises 7.1 and 7.2</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REFLECTIVE COMPONENT</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Written response: "Describe one exception covered in this module (critical result, rerun, or rejection) and explain why treating it correctly is actually evidence the laboratory's safety systems are working, not a sign something has gone wrong."</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PASSING THRESHOLD</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85%+ on knowledge checks, full completion of the practical task, and a reflective response demonstrating genuine conceptual understanding (instructor- or rubric-assessed for self-paced delivery)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RETAKE POLICY</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Unlimited retakes on knowledge checks; practical task may be reattempted after instructor or automated feedback</w:t>
            </w:r>
          </w:p>
        </w:tc>
      </w:tr>
    </w:tbl>
    <w:p>
      <w:pPr>
        <w:spacing w:after="200"/>
      </w:pPr>
    </w:p>
    <w:p>
      <w:pPr>
        <w:pStyle w:val="Heading2"/>
      </w:pPr>
      <w:r>
        <w:rPr>
          <w:rFonts w:ascii="Calibri" w:cs="Calibri" w:eastAsia="Calibri" w:hAnsi="Calibri"/>
        </w:rPr>
        <w:t xml:space="preserve">What This Module Feeds Into</w:t>
      </w:r>
    </w:p>
    <w:p>
      <w:pPr>
        <w:spacing w:after="160"/>
      </w:pPr>
      <w:r>
        <w:rPr>
          <w:rFonts w:ascii="Calibri" w:cs="Calibri" w:eastAsia="Calibri" w:hAnsi="Calibri"/>
          <w:color w:val="5C6678"/>
          <w:sz w:val="21"/>
          <w:szCs w:val="21"/>
        </w:rPr>
        <w:t xml:space="preserve">Module 7 establishes the exception-handling and scale-management judgment that the rest of Level 3 builds on. Module 8 (Quality Control) returns to the QC-out-of-range rerun trigger introduced in this module and covers the full QC system in depth. Module 9 (Instrument Gateway) extends the result-entry concepts touched on here into fully automated, instrument-driven result delivery. Module 11 (Compliance &amp; Security) returns to this module's audit-trail content within the broader context of NDPR, incident response, and formal investigation procedures. A learner who has only memorised this module's specific reason codes, without internalising the underlying judgment of when each response applies, will find that gap most exposed under the genuine time pressure of a real critical-result event.</w:t>
      </w:r>
    </w:p>
    <w:sectPr>
      <w:headerReference w:type="default" r:id="rId7"/>
      <w:headerReference w:type="first" r:id="rId8"/>
      <w:footerReference w:type="default" r:id="rId9"/>
      <w:footerReference w:type="first" r:id="rId10"/>
      <w:pgSz w:w="12240" w:h="15840" w:orient="portrait"/>
      <w:pgMar w:top="1440" w:right="1260" w:bottom="144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6"/>
      </w:pBdr>
      <w:tabs>
        <w:tab w:val="right" w:pos="9026"/>
      </w:tabs>
    </w:pPr>
    <w:r>
      <w:rPr>
        <w:rFonts w:ascii="Calibri" w:cs="Calibri" w:eastAsia="Calibri" w:hAnsi="Calibri"/>
        <w:color w:val="8C95A6"/>
        <w:sz w:val="15"/>
        <w:szCs w:val="15"/>
      </w:rPr>
      <w:t xml:space="preserve">AgoroX Academy — CLA Module 7: Workflow Exceptions &amp; Operational Control</w:t>
    </w:r>
    <w:r>
      <w:rPr>
        <w:rFonts w:ascii="Calibri" w:cs="Calibri" w:eastAsia="Calibri" w:hAnsi="Calibri"/>
        <w:color w:val="8C95A6"/>
        <w:sz w:val="15"/>
        <w:szCs w:val="15"/>
      </w:rPr>
      <w:t xml:space="preserve">	Page </w:t>
    </w:r>
    <w:r>
      <w:rPr>
        <w:rFonts w:ascii="Calibri" w:cs="Calibri" w:eastAsia="Calibri" w:hAnsi="Calibri"/>
        <w:color w:val="8C95A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A8552E"/>
      </w:r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C667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E1F33"/>
      <w:sz w:val="34"/>
      <w:szCs w:val="34"/>
    </w:rPr>
  </w:style>
  <w:style w:type="paragraph" w:styleId="Heading2">
    <w:name w:val="Heading 2"/>
    <w:basedOn w:val="Normal"/>
    <w:next w:val="Normal"/>
    <w:qFormat/>
    <w:pPr>
      <w:pBdr>
        <w:bottom w:val="single" w:color="D8DCE2" w:sz="4" w:space="6"/>
      </w:pBdr>
      <w:spacing w:after="130" w:before="300"/>
      <w:outlineLvl w:val="1"/>
    </w:pPr>
    <w:rPr>
      <w:rFonts w:ascii="Calibri" w:cs="Calibri" w:eastAsia="Calibri" w:hAnsi="Calibri"/>
      <w:b/>
      <w:bCs/>
      <w:color w:val="0E1F33"/>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E1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1ed13b30616d36706c0fb81e1122c8695ac1aa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2026-06-21T18:55:48.894Z</dcterms:created>
  <dcterms:modified xsi:type="dcterms:W3CDTF">2026-06-21T18:55:48.894Z</dcterms:modified>
</cp:coreProperties>
</file>

<file path=docProps/custom.xml><?xml version="1.0" encoding="utf-8"?>
<Properties xmlns="http://schemas.openxmlformats.org/officeDocument/2006/custom-properties" xmlns:vt="http://schemas.openxmlformats.org/officeDocument/2006/docPropsVTypes"/>
</file>