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C47" w:rsidRPr="00E27A11"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bookmarkStart w:id="0" w:name="_GoBack"/>
      <w:bookmarkEnd w:id="0"/>
      <w:r>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i=1, 2, 3</m:t>
                    </m:r>
                  </m:e>
                </m:d>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(k=12, 13, 23, 123)</m:t>
                </m:r>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 or bundle option (j=1, 2, 3, 12, 13, 23, 123)</m:t>
                </m:r>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3,4,5,6,7</m:t>
                    </m:r>
                  </m:e>
                </m:d>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f=1, 2</m:t>
                    </m:r>
                  </m:e>
                </m:d>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warehouse (w=1, 2, 3)</m:t>
                </m:r>
              </m:oMath>
            </m:oMathPara>
          </w:p>
        </w:tc>
      </w:tr>
      <w:tr w:rsidR="00EE0C47" w:rsidTr="00C21F47">
        <w:tc>
          <w:tcPr>
            <w:tcW w:w="709" w:type="dxa"/>
          </w:tcPr>
          <w:p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rsidR="00EE0C47" w:rsidRPr="008E178B" w:rsidRDefault="00EE0C47" w:rsidP="00A1305E">
            <w:pPr>
              <w:jc w:val="both"/>
              <w:rPr>
                <w:rFonts w:eastAsiaTheme="minorEastAsia"/>
              </w:rPr>
            </w:pPr>
            <m:oMathPara>
              <m:oMathParaPr>
                <m:jc m:val="left"/>
              </m:oMathParaPr>
              <m:oMath>
                <m:r>
                  <w:rPr>
                    <w:rFonts w:ascii="Cambria Math" w:hAnsi="Cambria Math"/>
                  </w:rPr>
                  <m:t>retailer/customer (r=1, 2, 3, 4)</m:t>
                </m:r>
              </m:oMath>
            </m:oMathPara>
          </w:p>
        </w:tc>
      </w:tr>
    </w:tbl>
    <w:p w:rsidR="00EE0C47" w:rsidRPr="00273388" w:rsidRDefault="00EE0C47" w:rsidP="00EE0C47">
      <w:pPr>
        <w:pStyle w:val="ListParagraph"/>
        <w:ind w:left="420"/>
        <w:rPr>
          <w:rFonts w:ascii="Times New Roman" w:eastAsiaTheme="minorEastAsia" w:hAnsi="Times New Roman" w:cs="Times New Roman"/>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C21F47">
        <w:trPr>
          <w:trHeight w:val="283"/>
        </w:trPr>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f</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fixed expenses per time period incurred for production in factory f</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rsidR="00EE0C47" w:rsidRPr="008E178B" w:rsidRDefault="00EE0C47" w:rsidP="00C21F47">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to retail</m:t>
                </m:r>
                <m:r>
                  <w:rPr>
                    <w:rFonts w:ascii="Cambria Math" w:hAnsi="Cambria Math"/>
                  </w:rPr>
                  <m:t>er r</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rsidTr="00C21F47">
        <w:trPr>
          <w:trHeight w:val="241"/>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rsidTr="00C21F47">
        <w:trPr>
          <w:trHeight w:val="241"/>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rsidTr="00C21F47">
        <w:trPr>
          <w:trHeight w:val="241"/>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C21F47">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rsidTr="00C21F47">
        <w:trPr>
          <w:trHeight w:val="255"/>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m:t>
                </m:r>
                <m:r>
                  <w:rPr>
                    <w:rFonts w:ascii="Cambria Math" w:hAnsi="Cambria Math"/>
                    <w:sz w:val="20"/>
                    <w:szCs w:val="20"/>
                  </w:rPr>
                  <m:t>ing activity for bundle k in factory f at the start of a period</m:t>
                </m:r>
              </m:oMath>
            </m:oMathPara>
          </w:p>
        </w:tc>
      </w:tr>
      <w:tr w:rsidR="00EE0C47" w:rsidTr="00C21F47">
        <w:trPr>
          <w:trHeight w:val="255"/>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rsidTr="00C21F47">
        <w:trPr>
          <w:trHeight w:val="255"/>
        </w:trPr>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cost of forming bundle k in factory f</m:t>
                </m:r>
              </m:oMath>
            </m:oMathPara>
          </w:p>
        </w:tc>
      </w:tr>
    </w:tbl>
    <w:p w:rsidR="00EE0C47"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rsidTr="00C21F47">
        <w:tc>
          <w:tcPr>
            <w:tcW w:w="1276" w:type="dxa"/>
          </w:tcPr>
          <w:p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rsidTr="00C21F47">
        <w:tc>
          <w:tcPr>
            <w:tcW w:w="1276" w:type="dxa"/>
          </w:tcPr>
          <w:p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Inventory capacity of factory f (in standard storage units or STDU)</m:t>
                </m:r>
              </m:oMath>
            </m:oMathPara>
          </w:p>
        </w:tc>
      </w:tr>
      <w:tr w:rsidR="00EE0C47" w:rsidTr="00C21F47">
        <w:tc>
          <w:tcPr>
            <w:tcW w:w="1276" w:type="dxa"/>
          </w:tcPr>
          <w:p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rsidTr="00C21F47">
        <w:tc>
          <w:tcPr>
            <w:tcW w:w="1276" w:type="dxa"/>
          </w:tcPr>
          <w:p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rsidR="00EE0C47" w:rsidRPr="007E5244" w:rsidRDefault="00EE0C47" w:rsidP="00C21F47">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rsidTr="00C21F47">
        <w:tc>
          <w:tcPr>
            <w:tcW w:w="1276" w:type="dxa"/>
          </w:tcPr>
          <w:p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rsidR="00EE0C47" w:rsidRDefault="00EE0C47" w:rsidP="00EE0C47">
      <w:pPr>
        <w:spacing w:line="480" w:lineRule="auto"/>
        <w:jc w:val="both"/>
        <w:outlineLvl w:val="1"/>
        <w:rPr>
          <w:rFonts w:ascii="Times New Roman" w:hAnsi="Times New Roman" w:cs="Times New Roman"/>
          <w:b/>
          <w:sz w:val="28"/>
          <w:szCs w:val="28"/>
        </w:rPr>
      </w:pPr>
    </w:p>
    <w:p w:rsidR="00EE0C47" w:rsidRPr="007E5244"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rsidTr="00C21F47">
        <w:tc>
          <w:tcPr>
            <w:tcW w:w="1921" w:type="dxa"/>
          </w:tcPr>
          <w:p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rsidTr="00C21F47">
        <w:tc>
          <w:tcPr>
            <w:tcW w:w="1921" w:type="dxa"/>
          </w:tcPr>
          <w:p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rsidR="00EE0C47" w:rsidRPr="00B500BE" w:rsidRDefault="00EE0C47" w:rsidP="00C21F47">
            <w:pPr>
              <w:rPr>
                <w:rFonts w:eastAsiaTheme="minorEastAsia"/>
              </w:rPr>
            </w:pPr>
            <m:oMathPara>
              <m:oMathParaPr>
                <m:jc m:val="left"/>
              </m:oMathParaPr>
              <m:oMath>
                <m:r>
                  <w:rPr>
                    <w:rFonts w:ascii="Cambria Math" w:hAnsi="Cambria Math"/>
                  </w:rPr>
                  <m:t>initial inventory of product i in warehouse w at time 0</m:t>
                </m:r>
              </m:oMath>
            </m:oMathPara>
          </w:p>
        </w:tc>
      </w:tr>
      <w:tr w:rsidR="00EE0C47" w:rsidTr="00C21F47">
        <w:tc>
          <w:tcPr>
            <w:tcW w:w="1921" w:type="dxa"/>
          </w:tcPr>
          <w:p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rsidR="00EE0C47" w:rsidRPr="00B500BE" w:rsidRDefault="00EE0C47" w:rsidP="00C21F47">
            <w:pPr>
              <w:rPr>
                <w:rFonts w:eastAsiaTheme="minorEastAsia"/>
              </w:rPr>
            </w:pPr>
            <m:oMathPara>
              <m:oMathParaPr>
                <m:jc m:val="left"/>
              </m:oMathParaPr>
              <m:oMath>
                <m:r>
                  <w:rPr>
                    <w:rFonts w:ascii="Cambria Math" w:hAnsi="Cambria Math"/>
                  </w:rPr>
                  <m:t>number of units of product or bundle option j equivalent to 1 STDU</m:t>
                </m:r>
              </m:oMath>
            </m:oMathPara>
          </w:p>
        </w:tc>
      </w:tr>
    </w:tbl>
    <w:p w:rsidR="00EE0C47" w:rsidRPr="00B500BE"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9196"/>
      </w:tblGrid>
      <w:tr w:rsidR="00EE0C47" w:rsidTr="00C21F47">
        <w:tc>
          <w:tcPr>
            <w:tcW w:w="583" w:type="dxa"/>
          </w:tcPr>
          <w:p w:rsidR="00EE0C47" w:rsidRPr="00127B2F" w:rsidRDefault="009C3558"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warehouse w</m:t>
                </m:r>
              </m:oMath>
            </m:oMathPara>
          </w:p>
        </w:tc>
      </w:tr>
      <w:tr w:rsidR="008B476E" w:rsidTr="00C21F47">
        <w:tc>
          <w:tcPr>
            <w:tcW w:w="583" w:type="dxa"/>
          </w:tcPr>
          <w:p w:rsidR="008B476E" w:rsidRPr="008B476E" w:rsidRDefault="009C3558" w:rsidP="008B476E">
            <w:pPr>
              <w:pStyle w:val="ListParagraph"/>
              <w:ind w:left="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fr</m:t>
                    </m:r>
                  </m:sub>
                </m:sSub>
              </m:oMath>
            </m:oMathPara>
          </w:p>
        </w:tc>
        <w:tc>
          <w:tcPr>
            <w:tcW w:w="9199" w:type="dxa"/>
          </w:tcPr>
          <w:p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retailer r</m:t>
                </m:r>
              </m:oMath>
            </m:oMathPara>
          </w:p>
        </w:tc>
      </w:tr>
      <w:tr w:rsidR="008B476E" w:rsidTr="00C21F47">
        <w:tc>
          <w:tcPr>
            <w:tcW w:w="583" w:type="dxa"/>
          </w:tcPr>
          <w:p w:rsidR="008B476E" w:rsidRPr="00127B2F" w:rsidRDefault="009C3558"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wr</m:t>
                    </m:r>
                  </m:sub>
                </m:sSub>
              </m:oMath>
            </m:oMathPara>
          </w:p>
        </w:tc>
        <w:tc>
          <w:tcPr>
            <w:tcW w:w="9199" w:type="dxa"/>
          </w:tcPr>
          <w:p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warehouse w to retailer r</m:t>
                </m:r>
              </m:oMath>
            </m:oMathPara>
          </w:p>
        </w:tc>
      </w:tr>
      <w:tr w:rsidR="008B476E" w:rsidTr="00C21F47">
        <w:tc>
          <w:tcPr>
            <w:tcW w:w="583" w:type="dxa"/>
          </w:tcPr>
          <w:p w:rsidR="008B476E" w:rsidRPr="00127B2F" w:rsidRDefault="009C3558"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rsidR="008B476E" w:rsidRPr="0055620C" w:rsidRDefault="008B476E" w:rsidP="008B476E">
            <w:pPr>
              <w:rPr>
                <w:rFonts w:ascii="Times New Roman" w:eastAsiaTheme="minorEastAsia" w:hAnsi="Times New Roman" w:cs="Times New Roman"/>
              </w:rPr>
            </w:pPr>
            <m:oMathPara>
              <m:oMathParaPr>
                <m:jc m:val="left"/>
              </m:oMathParaPr>
              <m:oMath>
                <m:r>
                  <w:rPr>
                    <w:rFonts w:ascii="Cambria Math" w:hAnsi="Cambria Math"/>
                  </w:rPr>
                  <m:t>Number of time periods prior to delivery period t that the order was ma</m:t>
                </m:r>
                <m:r>
                  <w:rPr>
                    <w:rFonts w:ascii="Cambria Math" w:hAnsi="Cambria Math"/>
                  </w:rPr>
                  <m:t xml:space="preserve">de by </m:t>
                </m:r>
              </m:oMath>
            </m:oMathPara>
          </w:p>
          <w:p w:rsidR="008B476E" w:rsidRPr="00DF2325" w:rsidRDefault="008B476E" w:rsidP="008B476E">
            <w:pPr>
              <w:rPr>
                <w:rFonts w:ascii="Times New Roman" w:eastAsiaTheme="minorEastAsia" w:hAnsi="Times New Roman" w:cs="Times New Roman"/>
              </w:rPr>
            </w:pPr>
            <m:oMathPara>
              <m:oMathParaPr>
                <m:jc m:val="left"/>
              </m:oMathParaPr>
              <m:oMath>
                <m:r>
                  <w:rPr>
                    <w:rFonts w:ascii="Cambria Math" w:hAnsi="Cambria Math"/>
                  </w:rPr>
                  <m:t>the retailer;Number of periods after order the retailer wants the order to arrive</m:t>
                </m:r>
              </m:oMath>
            </m:oMathPara>
          </w:p>
        </w:tc>
      </w:tr>
    </w:tbl>
    <w:p w:rsidR="00EE0C47" w:rsidRPr="0055620C"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rsidTr="00C21F47">
        <w:trPr>
          <w:trHeight w:val="269"/>
        </w:trPr>
        <w:tc>
          <w:tcPr>
            <w:tcW w:w="583" w:type="dxa"/>
          </w:tcPr>
          <w:p w:rsidR="00EE0C47" w:rsidRPr="00127B2F" w:rsidRDefault="009C3558"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rsidR="00EE0C47" w:rsidRPr="00BB79A8" w:rsidRDefault="00EE0C47" w:rsidP="00C21F47">
            <w:pPr>
              <w:rPr>
                <w:rFonts w:eastAsiaTheme="minorEastAsia"/>
              </w:rPr>
            </w:pPr>
            <m:oMathPara>
              <m:oMathParaPr>
                <m:jc m:val="left"/>
              </m:oMathParaPr>
              <m:oMath>
                <m:r>
                  <w:rPr>
                    <w:rFonts w:ascii="Cambria Math" w:hAnsi="Cambria Math"/>
                  </w:rPr>
                  <m:t>=1, if option j comprises individual product i;0, otherwise</m:t>
                </m:r>
              </m:oMath>
            </m:oMathPara>
          </w:p>
        </w:tc>
      </w:tr>
      <w:tr w:rsidR="00EE0C47" w:rsidTr="00C21F47">
        <w:trPr>
          <w:trHeight w:val="269"/>
        </w:trPr>
        <w:tc>
          <w:tcPr>
            <w:tcW w:w="583" w:type="dxa"/>
          </w:tcPr>
          <w:p w:rsidR="00EE0C47" w:rsidRDefault="00EE0C47" w:rsidP="00C21F47">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rsidR="00EE0C47" w:rsidRPr="00F613A3" w:rsidRDefault="00EE0C47" w:rsidP="00C21F47">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rsidR="00EE0C47" w:rsidRPr="00BB79A8"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C21F47">
        <w:tc>
          <w:tcPr>
            <w:tcW w:w="1669" w:type="dxa"/>
          </w:tcPr>
          <w:p w:rsidR="00EE0C47" w:rsidRPr="00F613A3" w:rsidRDefault="009C3558"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individual product i produced in factory f at time t </m:t>
                </m:r>
              </m:oMath>
            </m:oMathPara>
          </w:p>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rsidTr="00C21F47">
        <w:trPr>
          <w:trHeight w:val="283"/>
        </w:trPr>
        <w:tc>
          <w:tcPr>
            <w:tcW w:w="1669"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rsidTr="00C21F47">
        <w:tc>
          <w:tcPr>
            <w:tcW w:w="1669"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rsidTr="00C21F47">
        <w:tc>
          <w:tcPr>
            <w:tcW w:w="1669"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m:t>
                </m:r>
                <m:r>
                  <w:rPr>
                    <w:rFonts w:ascii="Cambria Math" w:hAnsi="Cambria Math"/>
                  </w:rPr>
                  <m:t xml:space="preserve">rom warehouse w to retailer r at time t </m:t>
                </m:r>
              </m:oMath>
            </m:oMathPara>
          </w:p>
          <w:p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rsidR="00EE0C47" w:rsidRPr="00601CBF" w:rsidRDefault="00EE0C47" w:rsidP="00C21F47">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rsidR="00EE0C47" w:rsidRPr="00791C3A" w:rsidRDefault="00EE0C47" w:rsidP="00C21F47">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rsidR="00EE0C47" w:rsidRPr="008E178B" w:rsidRDefault="00EE0C47" w:rsidP="00C21F47">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at time t</m:t>
                </m:r>
              </m:oMath>
            </m:oMathPara>
          </w:p>
        </w:tc>
      </w:tr>
    </w:tbl>
    <w:p w:rsidR="00EE0C47" w:rsidRPr="006A6B1A"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rsidR="00EE0C47" w:rsidRPr="00601CBF" w:rsidRDefault="00EE0C47" w:rsidP="00C21F47">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rsidTr="00C21F47">
        <w:trPr>
          <w:trHeight w:val="283"/>
        </w:trPr>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rsidR="00EE0C47" w:rsidRPr="00601CBF" w:rsidRDefault="00EE0C47" w:rsidP="00C21F47">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rsidTr="00C21F47">
        <w:tc>
          <w:tcPr>
            <w:tcW w:w="1669"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rsidR="00EE0C47" w:rsidRPr="00F613A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rsidR="00EE0C47" w:rsidRPr="008E178B" w:rsidRDefault="00EE0C47" w:rsidP="00C21F47">
            <w:pPr>
              <w:jc w:val="both"/>
              <w:rPr>
                <w:rFonts w:eastAsiaTheme="minorEastAsia"/>
              </w:rPr>
            </w:pPr>
            <m:oMathPara>
              <m:oMathParaPr>
                <m:jc m:val="left"/>
              </m:oMathParaPr>
              <m:oMath>
                <m:r>
                  <w:rPr>
                    <w:rFonts w:ascii="Cambria Math" w:hAnsi="Cambria Math"/>
                  </w:rPr>
                  <m:t>as of the end of time t</m:t>
                </m:r>
              </m:oMath>
            </m:oMathPara>
          </w:p>
        </w:tc>
      </w:tr>
      <w:tr w:rsidR="00EE0C47" w:rsidTr="00C21F47">
        <w:tc>
          <w:tcPr>
            <w:tcW w:w="1669" w:type="dxa"/>
          </w:tcPr>
          <w:p w:rsidR="00EE0C47" w:rsidRPr="00B068AA" w:rsidRDefault="009C3558" w:rsidP="00C21F47">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rsidR="00EE0C47" w:rsidRPr="00F613A3"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r w:rsidR="008B476E" w:rsidTr="00C21F47">
        <w:tc>
          <w:tcPr>
            <w:tcW w:w="1669" w:type="dxa"/>
          </w:tcPr>
          <w:p w:rsidR="008B476E" w:rsidRPr="008B476E" w:rsidRDefault="009C3558" w:rsidP="00C21F47">
            <w:pPr>
              <w:pStyle w:val="ListParagraph"/>
              <w:ind w:left="0"/>
              <w:jc w:val="both"/>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PC</m:t>
                    </m:r>
                  </m:e>
                  <m:sub>
                    <m:r>
                      <w:rPr>
                        <w:rFonts w:ascii="Cambria Math" w:hAnsi="Cambria Math"/>
                      </w:rPr>
                      <m:t>ift</m:t>
                    </m:r>
                  </m:sub>
                </m:sSub>
              </m:oMath>
            </m:oMathPara>
          </w:p>
        </w:tc>
        <w:tc>
          <w:tcPr>
            <w:tcW w:w="8963" w:type="dxa"/>
          </w:tcPr>
          <w:p w:rsidR="008B476E" w:rsidRPr="008B476E" w:rsidRDefault="008B476E" w:rsidP="008B476E">
            <w:pPr>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total production cost per unit of product i in factory f at time t</m:t>
                </m:r>
              </m:oMath>
            </m:oMathPara>
          </w:p>
        </w:tc>
      </w:tr>
    </w:tbl>
    <w:p w:rsidR="00EE0C47" w:rsidRPr="00601CBF" w:rsidRDefault="00EE0C47" w:rsidP="00EE0C47">
      <w:pPr>
        <w:spacing w:line="480" w:lineRule="auto"/>
        <w:jc w:val="both"/>
        <w:outlineLvl w:val="1"/>
        <w:rPr>
          <w:rFonts w:ascii="Times New Roman" w:hAnsi="Times New Roman" w:cs="Times New Roman"/>
          <w:b/>
          <w:sz w:val="28"/>
          <w:szCs w:val="28"/>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rsidTr="00C21F47">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282206" w:rsidRDefault="00EE0C47" w:rsidP="00C21F47">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rsidR="00EE0C47" w:rsidRPr="00282206" w:rsidRDefault="00EE0C47" w:rsidP="00C21F47">
            <w:pPr>
              <w:rPr>
                <w:rFonts w:eastAsiaTheme="minorEastAsia"/>
              </w:rPr>
            </w:pPr>
            <m:oMathPara>
              <m:oMathParaPr>
                <m:jc m:val="left"/>
              </m:oMathParaPr>
              <m:oMath>
                <m:r>
                  <w:rPr>
                    <w:rFonts w:ascii="Cambria Math" w:hAnsi="Cambria Math"/>
                  </w:rPr>
                  <m:t>0, otherwise</m:t>
                </m:r>
              </m:oMath>
            </m:oMathPara>
          </w:p>
        </w:tc>
      </w:tr>
      <w:tr w:rsidR="00EE0C47" w:rsidTr="00C21F47">
        <w:trPr>
          <w:trHeight w:val="283"/>
        </w:trPr>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282206" w:rsidRDefault="00EE0C47" w:rsidP="00C21F47">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rsidR="00EE0C47" w:rsidRPr="00601CBF" w:rsidRDefault="00EE0C47" w:rsidP="00C21F47">
            <w:pPr>
              <w:rPr>
                <w:rFonts w:eastAsiaTheme="minorEastAsia"/>
              </w:rPr>
            </w:pPr>
            <m:oMathPara>
              <m:oMathParaPr>
                <m:jc m:val="left"/>
              </m:oMathParaPr>
              <m:oMath>
                <m:r>
                  <w:rPr>
                    <w:rFonts w:ascii="Cambria Math" w:hAnsi="Cambria Math"/>
                  </w:rPr>
                  <m:t>0, otherwise</m:t>
                </m:r>
              </m:oMath>
            </m:oMathPara>
          </w:p>
        </w:tc>
      </w:tr>
      <w:tr w:rsidR="00EE0C47" w:rsidTr="00C21F47">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rsidTr="00C21F47">
        <w:tc>
          <w:tcPr>
            <w:tcW w:w="1911" w:type="dxa"/>
          </w:tcPr>
          <w:p w:rsidR="00EE0C47" w:rsidRDefault="00EE0C47" w:rsidP="00C21F47">
            <w:pPr>
              <w:pStyle w:val="ListParagraph"/>
              <w:ind w:left="0"/>
              <w:jc w:val="both"/>
              <w:rPr>
                <w:rFonts w:ascii="Calibri" w:eastAsia="Calibri" w:hAnsi="Calibri" w:cs="Times New Roman"/>
              </w:rPr>
            </w:pPr>
          </w:p>
        </w:tc>
        <w:tc>
          <w:tcPr>
            <w:tcW w:w="9004" w:type="dxa"/>
          </w:tcPr>
          <w:p w:rsidR="00EE0C47" w:rsidRPr="00282206"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rsidTr="00C21F47">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rsidTr="00C21F47">
        <w:tc>
          <w:tcPr>
            <w:tcW w:w="1911" w:type="dxa"/>
          </w:tcPr>
          <w:p w:rsidR="00EE0C47" w:rsidRDefault="00EE0C47" w:rsidP="00C21F47">
            <w:pPr>
              <w:pStyle w:val="ListParagraph"/>
              <w:ind w:left="0"/>
              <w:jc w:val="both"/>
              <w:rPr>
                <w:rFonts w:ascii="Calibri" w:eastAsia="Calibri" w:hAnsi="Calibri" w:cs="Times New Roman"/>
              </w:rPr>
            </w:pPr>
          </w:p>
        </w:tc>
        <w:tc>
          <w:tcPr>
            <w:tcW w:w="9004" w:type="dxa"/>
          </w:tcPr>
          <w:p w:rsidR="00EE0C47" w:rsidRPr="00DF7982"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rsidTr="00C21F47">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rsidTr="00C21F47">
        <w:tc>
          <w:tcPr>
            <w:tcW w:w="1911" w:type="dxa"/>
          </w:tcPr>
          <w:p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rsidTr="00C21F47">
        <w:tc>
          <w:tcPr>
            <w:tcW w:w="1911" w:type="dxa"/>
          </w:tcPr>
          <w:p w:rsidR="00EE0C47" w:rsidRPr="00466043" w:rsidRDefault="00EE0C47" w:rsidP="00C21F47">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rsidR="00EE0C47" w:rsidRPr="0046604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1, if an introductory cost for bundle k will be incurred in warehouse w;</m:t>
                </m:r>
              </m:oMath>
            </m:oMathPara>
          </w:p>
          <w:p w:rsidR="00EE0C47" w:rsidRPr="008E178B" w:rsidRDefault="00EE0C47" w:rsidP="00C21F47">
            <w:pPr>
              <w:jc w:val="both"/>
              <w:rPr>
                <w:rFonts w:eastAsiaTheme="minorEastAsia"/>
              </w:rPr>
            </w:pPr>
            <m:oMathPara>
              <m:oMathParaPr>
                <m:jc m:val="left"/>
              </m:oMathParaPr>
              <m:oMath>
                <m:r>
                  <w:rPr>
                    <w:rFonts w:ascii="Cambria Math" w:hAnsi="Cambria Math"/>
                  </w:rPr>
                  <m:t>0, otherwise</m:t>
                </m:r>
              </m:oMath>
            </m:oMathPara>
          </w:p>
        </w:tc>
      </w:tr>
      <w:tr w:rsidR="00EE0C47" w:rsidTr="00C21F47">
        <w:tc>
          <w:tcPr>
            <w:tcW w:w="1911" w:type="dxa"/>
          </w:tcPr>
          <w:p w:rsidR="00EE0C47" w:rsidRPr="00466043" w:rsidRDefault="00EE0C47" w:rsidP="00C21F47">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rsidTr="00C21F47">
        <w:tc>
          <w:tcPr>
            <w:tcW w:w="1911"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rsidR="00EE0C47" w:rsidRPr="001C37D6" w:rsidRDefault="00EE0C47" w:rsidP="00C21F47">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rsidR="00EE0C47" w:rsidRPr="001C37D6" w:rsidRDefault="00EE0C47" w:rsidP="00C21F47">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rsidTr="00C21F47">
        <w:trPr>
          <w:trHeight w:val="241"/>
        </w:trPr>
        <w:tc>
          <w:tcPr>
            <w:tcW w:w="1911"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m:t>
                </m:r>
                <m:r>
                  <w:rPr>
                    <w:rFonts w:ascii="Cambria Math" w:hAnsi="Cambria Math"/>
                  </w:rPr>
                  <m:t>r was made for option j by retailer r during time t;0, otherwise</m:t>
                </m:r>
              </m:oMath>
            </m:oMathPara>
          </w:p>
        </w:tc>
      </w:tr>
      <w:tr w:rsidR="00EE0C47" w:rsidTr="00C21F47">
        <w:trPr>
          <w:trHeight w:val="241"/>
        </w:trPr>
        <w:tc>
          <w:tcPr>
            <w:tcW w:w="1911"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rsidTr="00C21F47">
        <w:trPr>
          <w:trHeight w:val="241"/>
        </w:trPr>
        <w:tc>
          <w:tcPr>
            <w:tcW w:w="1911"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rsidR="00EE0C47" w:rsidRPr="001C37D6" w:rsidRDefault="00EE0C47" w:rsidP="00C21F47">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rsidTr="00C21F47">
        <w:trPr>
          <w:trHeight w:val="255"/>
        </w:trPr>
        <w:tc>
          <w:tcPr>
            <w:tcW w:w="1911" w:type="dxa"/>
          </w:tcPr>
          <w:p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rPr>
          <w:rFonts w:eastAsiaTheme="minorEastAsia"/>
        </w:rPr>
      </w:pP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Objective Function</w:t>
      </w:r>
    </w:p>
    <w:p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rsidR="00EE0C47" w:rsidRPr="00652891" w:rsidRDefault="009C3558"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PC</w:t>
      </w:r>
      <w:r w:rsidRPr="00CC4607">
        <w:rPr>
          <w:rFonts w:ascii="Times New Roman" w:hAnsi="Times New Roman" w:cs="Times New Roman"/>
          <w:vertAlign w:val="subscript"/>
        </w:rPr>
        <w:t>ift</w:t>
      </w:r>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changes based on the number of units produced. With VC</w:t>
      </w:r>
      <w:r w:rsidRPr="00CC4607">
        <w:rPr>
          <w:rFonts w:ascii="Times New Roman" w:hAnsi="Times New Roman" w:cs="Times New Roman"/>
          <w:vertAlign w:val="subscript"/>
        </w:rPr>
        <w:t>if</w:t>
      </w:r>
      <w:r w:rsidRPr="00CC4607">
        <w:rPr>
          <w:rFonts w:ascii="Times New Roman" w:hAnsi="Times New Roman" w:cs="Times New Roman"/>
        </w:rPr>
        <w:t xml:space="preserve"> as the variable unit cost and FC</w:t>
      </w:r>
      <w:r w:rsidRPr="00CC4607">
        <w:rPr>
          <w:rFonts w:ascii="Times New Roman" w:hAnsi="Times New Roman" w:cs="Times New Roman"/>
          <w:vertAlign w:val="subscript"/>
        </w:rPr>
        <w:t>f</w:t>
      </w:r>
      <w:r w:rsidRPr="00CC4607">
        <w:rPr>
          <w:rFonts w:ascii="Times New Roman" w:hAnsi="Times New Roman" w:cs="Times New Roman"/>
        </w:rPr>
        <w:t xml:space="preserve"> as the fixed expenses in factory f per time period, the total production cost per unit can be computed as: PC</w:t>
      </w:r>
      <w:r w:rsidRPr="00CC4607">
        <w:rPr>
          <w:rFonts w:ascii="Times New Roman" w:hAnsi="Times New Roman" w:cs="Times New Roman"/>
          <w:vertAlign w:val="subscript"/>
        </w:rPr>
        <w:t>ift</w:t>
      </w:r>
      <w:r w:rsidRPr="00CC4607">
        <w:rPr>
          <w:rFonts w:ascii="Times New Roman" w:hAnsi="Times New Roman" w:cs="Times New Roman"/>
        </w:rPr>
        <w:t xml:space="preserve"> = VC</w:t>
      </w:r>
      <w:r w:rsidRPr="00CC4607">
        <w:rPr>
          <w:rFonts w:ascii="Times New Roman" w:hAnsi="Times New Roman" w:cs="Times New Roman"/>
          <w:vertAlign w:val="subscript"/>
        </w:rPr>
        <w:t>if</w:t>
      </w:r>
      <w:r w:rsidRPr="00CC4607">
        <w:rPr>
          <w:rFonts w:ascii="Times New Roman" w:hAnsi="Times New Roman" w:cs="Times New Roman"/>
        </w:rPr>
        <w:t xml:space="preserve"> + (FC</w:t>
      </w:r>
      <w:r w:rsidRPr="00CC4607">
        <w:rPr>
          <w:rFonts w:ascii="Times New Roman" w:hAnsi="Times New Roman" w:cs="Times New Roman"/>
          <w:vertAlign w:val="subscript"/>
        </w:rPr>
        <w:t>f</w:t>
      </w:r>
      <w:r w:rsidRPr="00CC4607">
        <w:rPr>
          <w:rFonts w:ascii="Times New Roman" w:hAnsi="Times New Roman" w:cs="Times New Roman"/>
        </w:rPr>
        <w:t>/∑P</w:t>
      </w:r>
      <w:r w:rsidRPr="00CC4607">
        <w:rPr>
          <w:rFonts w:ascii="Times New Roman" w:hAnsi="Times New Roman" w:cs="Times New Roman"/>
          <w:vertAlign w:val="subscript"/>
        </w:rPr>
        <w:t>ift</w:t>
      </w:r>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rsidR="00EE0C47" w:rsidRPr="00CC4607" w:rsidRDefault="009C3558"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the warehouses multiplied by the corresponding unit inventory cost across all periods. This expression in the objective function is shown below.</w:t>
      </w:r>
    </w:p>
    <w:p w:rsidR="00EE0C47" w:rsidRPr="00B34E04" w:rsidRDefault="009C3558"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rsidR="00EE0C47" w:rsidRPr="00E46FAE" w:rsidRDefault="009C3558"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rsidR="00EE0C47" w:rsidRPr="00AC7A26" w:rsidRDefault="009C3558"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rsidR="00EE0C47" w:rsidRPr="001E6C74" w:rsidRDefault="009C3558"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rsidR="00EE0C47" w:rsidRPr="00AF4C47" w:rsidRDefault="009C3558"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m:t>
                      </m:r>
                      <m:r>
                        <w:rPr>
                          <w:rFonts w:ascii="Cambria Math" w:eastAsiaTheme="minorEastAsia" w:hAnsi="Cambria Math"/>
                        </w:rPr>
                        <m:t>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rsidR="00EE0C47" w:rsidRPr="00D215F9" w:rsidRDefault="009C3558"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Factory f</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Beginning Inventory of Individual Product i in Warehouse w</w:t>
      </w:r>
    </w:p>
    <w:p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r w:rsidRPr="00A61A7D">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Capacity</w:t>
      </w:r>
    </w:p>
    <w:p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number of units of a product to be produced in a factory per period will not exceed the production capacity.</w:t>
      </w:r>
    </w:p>
    <w:p w:rsidR="00EE0C47" w:rsidRPr="003F0152" w:rsidRDefault="009C3558"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rsidR="00EE0C47" w:rsidRPr="004B71D1" w:rsidRDefault="009C3558"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rsidR="00EE0C47" w:rsidRPr="00D66089" w:rsidRDefault="009C3558"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number of units of a product/bundle a factory can dispatch will not exceed the supply of products in the factory. That is, the number of units of a product/bundle a factory can transport both to the warehouses and to the retailers should not exceed the amount of inventory available in the factory at the start of the period.</w:t>
      </w:r>
    </w:p>
    <w:p w:rsidR="00EE0C47" w:rsidRPr="007003D6" w:rsidRDefault="009C3558"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rsidR="00EE0C47" w:rsidRPr="007003D6" w:rsidRDefault="009C3558"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t>This constraint assures that the number of units of a bundle that can be created from individual products will not exceed the supply of the individual products available in the warehouse after all dispatches have been made. That is, the number of bundled units that can be formed in the warehouse should not exceed the remaining inventory of the individual products the bundle comprises after the dispatches</w:t>
      </w:r>
      <w:r w:rsidRPr="003F0152">
        <w:rPr>
          <w:rFonts w:ascii="Times New Roman" w:hAnsi="Times New Roman" w:cs="Times New Roman"/>
        </w:rPr>
        <w:t>.</w:t>
      </w:r>
    </w:p>
    <w:p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t>This constraint sets the variable, BSUF</w:t>
      </w:r>
      <w:r w:rsidRPr="00B95951">
        <w:rPr>
          <w:rFonts w:ascii="Times New Roman" w:hAnsi="Times New Roman" w:cs="Times New Roman"/>
          <w:vertAlign w:val="subscript"/>
        </w:rPr>
        <w:t>kft</w:t>
      </w:r>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m:t>
              </m:r>
              <m:r>
                <w:rPr>
                  <w:rFonts w:ascii="Cambria Math" w:hAnsi="Cambria Math"/>
                </w:rPr>
                <m:t>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This constraint sets the variable, BSUW</w:t>
      </w:r>
      <w:r w:rsidRPr="00CF4ED9">
        <w:rPr>
          <w:rFonts w:ascii="Times New Roman" w:hAnsi="Times New Roman" w:cs="Times New Roman"/>
          <w:vertAlign w:val="subscript"/>
        </w:rPr>
        <w:t>kwt</w:t>
      </w:r>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This constraint sets the variable, INTROBF</w:t>
      </w:r>
      <w:r w:rsidRPr="00B74135">
        <w:rPr>
          <w:rFonts w:ascii="Times New Roman" w:hAnsi="Times New Roman" w:cs="Times New Roman"/>
        </w:rPr>
        <w:softHyphen/>
      </w:r>
      <w:r w:rsidRPr="00B74135">
        <w:rPr>
          <w:rFonts w:ascii="Times New Roman" w:hAnsi="Times New Roman" w:cs="Times New Roman"/>
          <w:vertAlign w:val="subscript"/>
        </w:rPr>
        <w:t>kft</w:t>
      </w:r>
      <w:r w:rsidRPr="00B74135">
        <w:rPr>
          <w:rFonts w:ascii="Times New Roman" w:hAnsi="Times New Roman" w:cs="Times New Roman"/>
        </w:rPr>
        <w:t>,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rsidR="00EE0C47" w:rsidRPr="00A53C73"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This constraint sets the variable, INTROBW</w:t>
      </w:r>
      <w:r w:rsidRPr="009E36E1">
        <w:rPr>
          <w:rFonts w:ascii="Times New Roman" w:hAnsi="Times New Roman" w:cs="Times New Roman"/>
        </w:rPr>
        <w:softHyphen/>
      </w:r>
      <w:r w:rsidRPr="009E36E1">
        <w:rPr>
          <w:rFonts w:ascii="Times New Roman" w:hAnsi="Times New Roman" w:cs="Times New Roman"/>
          <w:vertAlign w:val="subscript"/>
        </w:rPr>
        <w:t>kwt</w:t>
      </w:r>
      <w:r w:rsidRPr="009E36E1">
        <w:rPr>
          <w:rFonts w:ascii="Times New Roman" w:hAnsi="Times New Roman" w:cs="Times New Roman"/>
        </w:rPr>
        <w:t>,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rsidR="00EE0C47" w:rsidRPr="00A53C73"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DA1CB0" w:rsidRDefault="009C3558"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t>Introductory Variables Incurring Cost in Factory</w:t>
      </w:r>
    </w:p>
    <w:p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t>This constraint sets the variable, SETUPF</w:t>
      </w:r>
      <w:r w:rsidRPr="005C648F">
        <w:rPr>
          <w:rFonts w:ascii="Times New Roman" w:hAnsi="Times New Roman" w:cs="Times New Roman"/>
          <w:vertAlign w:val="subscript"/>
        </w:rPr>
        <w:t>kft</w:t>
      </w:r>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This constraint sets the variable, SETUPW</w:t>
      </w:r>
      <w:r w:rsidRPr="00E43A01">
        <w:rPr>
          <w:rFonts w:ascii="Times New Roman" w:hAnsi="Times New Roman" w:cs="Times New Roman"/>
          <w:vertAlign w:val="subscript"/>
        </w:rPr>
        <w:t>kwt</w:t>
      </w:r>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This constraint sets the amount of inventory of the individual products left in the factory at the end of the current period. The amount of individual products left would be equal to the beginning inventory and the newly produced products less all dispatches done going to the warehouses and the retailers and, less all individual products used to create the bundles formed.</w:t>
      </w:r>
    </w:p>
    <w:p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This constraint sets the amount of inventory of the individual products left in the warehouse at the end of the current period. The amount of individual products left would be equal to the beginning inventory less all dispatches done going to the the retailers and, less all individual products used to create the bundles formed.</w:t>
      </w:r>
    </w:p>
    <w:p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This constraint sets the amount of inventory of the bundles left in the warehouse at the end of the current period. The amount of bundles in-store at the end of the period would be equal to the inventory at the start of the period plus all bundles created during the period less all dispatches done going to the retailers.</w:t>
      </w:r>
    </w:p>
    <w:p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kwrt</m:t>
                  </m:r>
                </m:sub>
              </m:sSub>
            </m:e>
          </m:nary>
          <m:r>
            <w:rPr>
              <w:rFonts w:ascii="Cambria Math" w:hAnsi="Cambria Math"/>
            </w:rPr>
            <m:t xml:space="preserve">    ∀k, w,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rsidR="00EE0C47" w:rsidRPr="000662F1" w:rsidRDefault="00EE0C47" w:rsidP="00EE0C47">
      <w:pPr>
        <w:rPr>
          <w:rFonts w:eastAsiaTheme="minorEastAsia"/>
        </w:rPr>
      </w:pPr>
      <m:oMathPara>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This constraint sets the variable, OFFER</w:t>
      </w:r>
      <w:r w:rsidRPr="009843A2">
        <w:rPr>
          <w:rFonts w:ascii="Times New Roman" w:hAnsi="Times New Roman" w:cs="Times New Roman"/>
          <w:vertAlign w:val="subscript"/>
        </w:rPr>
        <w:t>jt</w:t>
      </w:r>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rsidR="00EE0C47" w:rsidRPr="00020A23" w:rsidRDefault="009C3558"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rsidR="00EE0C47" w:rsidRPr="00A17A92" w:rsidRDefault="009C3558"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x</w:t>
      </w:r>
      <w:r w:rsidRPr="0062594D">
        <w:rPr>
          <w:rFonts w:ascii="Times New Roman" w:hAnsi="Times New Roman" w:cs="Times New Roman"/>
          <w:vertAlign w:val="subscript"/>
        </w:rPr>
        <w:t>r</w:t>
      </w:r>
      <w:r w:rsidRPr="0062594D">
        <w:rPr>
          <w:rFonts w:ascii="Times New Roman" w:hAnsi="Times New Roman" w:cs="Times New Roman"/>
        </w:rPr>
        <w:t xml:space="preserve"> time periods from the current t period). If an order was made and the option was not offered at that time, the order will be lost hence the variable LOST</w:t>
      </w:r>
      <w:r w:rsidRPr="0062594D">
        <w:rPr>
          <w:rFonts w:ascii="Times New Roman" w:hAnsi="Times New Roman" w:cs="Times New Roman"/>
          <w:vertAlign w:val="subscript"/>
        </w:rPr>
        <w:t>jrt</w:t>
      </w:r>
      <w:r w:rsidRPr="0062594D">
        <w:rPr>
          <w:rFonts w:ascii="Times New Roman" w:hAnsi="Times New Roman" w:cs="Times New Roman"/>
        </w:rPr>
        <w:t xml:space="preserve"> will have a value of 1. </w:t>
      </w:r>
    </w:p>
    <w:p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all </w:t>
      </w: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r w:rsidRPr="0062594D">
        <w:rPr>
          <w:rFonts w:ascii="Times New Roman" w:hAnsi="Times New Roman" w:cs="Times New Roman"/>
          <w:i/>
        </w:rPr>
        <w:t>x</w:t>
      </w:r>
      <w:r w:rsidRPr="0062594D">
        <w:rPr>
          <w:rFonts w:ascii="Times New Roman" w:hAnsi="Times New Roman" w:cs="Times New Roman"/>
          <w:vertAlign w:val="subscript"/>
        </w:rPr>
        <w:t>r</w:t>
      </w:r>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(LOST</w:t>
      </w:r>
      <w:r w:rsidRPr="000D63E8">
        <w:rPr>
          <w:rFonts w:ascii="Times New Roman" w:hAnsi="Times New Roman" w:cs="Times New Roman"/>
          <w:vertAlign w:val="subscript"/>
        </w:rPr>
        <w:t>jrt</w:t>
      </w:r>
      <w:r w:rsidRPr="000D63E8">
        <w:rPr>
          <w:rFonts w:ascii="Times New Roman" w:hAnsi="Times New Roman" w:cs="Times New Roman"/>
        </w:rPr>
        <w:t xml:space="preserve"> variable from previous constraint).</w:t>
      </w:r>
    </w:p>
    <w:p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m:t>
        </m:r>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rsidR="00EE0C47" w:rsidRPr="007003D6" w:rsidRDefault="009C3558"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t xml:space="preserve">Backorder </w:t>
      </w:r>
      <w:r>
        <w:rPr>
          <w:rFonts w:ascii="Times New Roman" w:hAnsi="Times New Roman" w:cs="Times New Roman"/>
          <w:b/>
          <w:sz w:val="28"/>
          <w:szCs w:val="28"/>
        </w:rPr>
        <w:t>Occurrence</w:t>
      </w:r>
    </w:p>
    <w:p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stockout on the retailer’s part. Therefore, that portion of the demand is already foregone. The retailer allows backorders 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rsidR="00EE0C47" w:rsidRPr="004B71D1"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jr(t-1)</m:t>
              </m:r>
            </m:sub>
          </m:sSub>
          <m:r>
            <w:rPr>
              <w:rFonts w:ascii="Cambria Math" w:hAnsi="Cambria Math"/>
            </w:rPr>
            <m:t xml:space="preserve">         ∀j, r, t</m:t>
          </m:r>
        </m:oMath>
      </m:oMathPara>
    </w:p>
    <w:p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at a relatively discounted price. If the price of the bundle will exceed the aggregated price of its components, then the discount essence will be gone</w:t>
      </w:r>
      <w:r w:rsidRPr="003F0152">
        <w:rPr>
          <w:rFonts w:ascii="Times New Roman" w:hAnsi="Times New Roman" w:cs="Times New Roman"/>
        </w:rPr>
        <w:t>.</w:t>
      </w:r>
    </w:p>
    <w:p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Cost per Unit Declaration</w:t>
      </w:r>
    </w:p>
    <w:p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e>
              </m:nary>
            </m:den>
          </m:f>
          <m:r>
            <w:rPr>
              <w:rFonts w:ascii="Cambria Math" w:eastAsiaTheme="minorEastAsia" w:hAnsi="Cambria Math"/>
            </w:rPr>
            <m:t xml:space="preserve">             </m:t>
          </m:r>
          <m:r>
            <w:rPr>
              <w:rFonts w:ascii="Cambria Math" w:hAnsi="Cambria Math"/>
            </w:rPr>
            <m:t>∀i, f, t</m:t>
          </m:r>
        </m:oMath>
      </m:oMathPara>
    </w:p>
    <w:p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This constraint allows the model to monitor the cumulative amount of orders (for delivery) made for a certain product/bundle as of any time period. Since one of the sub-problems to be addressed is to investigate the influence of low sales on the bundling decisions, this variable that will keep track of the cumulative orders for a product is necessary. By analyzing this variable, the researcher will be able to determine if the sales of the product is low relative to that of the other products. And, the researcher will be able to analyze the decisions made alongside i.e. how production decisions, bundling decision</w:t>
      </w:r>
      <w:r>
        <w:rPr>
          <w:rFonts w:ascii="Times New Roman" w:hAnsi="Times New Roman" w:cs="Times New Roman"/>
        </w:rPr>
        <w:t>s, or pricing decisions changed.</w:t>
      </w:r>
    </w:p>
    <w:p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Derivation</w:t>
      </w:r>
    </w:p>
    <w:p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customers per period in each period t .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multiivariate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r w:rsidRPr="00AC144D">
        <w:rPr>
          <w:rFonts w:ascii="Times New Roman" w:hAnsi="Times New Roman" w:cs="Times New Roman"/>
        </w:rPr>
        <w:t>, …,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This assumption will be relaxed by allowing subadditivity and superadditivity of the reservation prices for bundles. This relaxation will be presented in the “Superadditivity and subadditivity of reservation prices” subsection. For reservation price estimates, the researcher suggests that the readers refer to Jedidi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An arriving customer can take several possible actions based on the maximum surplus rule. The customer may leave without a purchase, purchase product 1, purchase product 2, purchase product 3, purchase any individual product, purchase bundle 12, purchase bundle 13, purchase bundle 23, purchase bundle 123, or any other possible bundle combination. Each action has its own probability of occurrence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Bulut et al (2009) but was extended for multiple individual products. </w:t>
      </w: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The above notations must first be defined before the discussion of the purchasing probability derivation. The reservation prices are assumed to follow a multivariate normal distribution adopting the approach of Bulut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r w:rsidRPr="005D1ADE">
        <w:rPr>
          <w:rFonts w:ascii="Times New Roman" w:hAnsi="Times New Roman" w:cs="Times New Roman"/>
        </w:rPr>
        <w:t>, …, R</w:t>
      </w:r>
      <w:r w:rsidRPr="005D1ADE">
        <w:rPr>
          <w:rFonts w:ascii="Times New Roman" w:hAnsi="Times New Roman" w:cs="Times New Roman"/>
          <w:vertAlign w:val="subscript"/>
        </w:rPr>
        <w:t>h</w:t>
      </w:r>
      <w:r w:rsidRPr="005D1ADE">
        <w:rPr>
          <w:rFonts w:ascii="Times New Roman" w:hAnsi="Times New Roman" w:cs="Times New Roman"/>
        </w:rPr>
        <w:t>, is as follows.</w:t>
      </w:r>
    </w:p>
    <w:p w:rsidR="00EE0C47" w:rsidRPr="005D1ADE" w:rsidRDefault="009C3558"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where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r w:rsidRPr="005D1ADE">
        <w:rPr>
          <w:rFonts w:ascii="Times New Roman" w:hAnsi="Times New Roman" w:cs="Times New Roman"/>
          <w:i/>
        </w:rPr>
        <w:t>r</w:t>
      </w:r>
      <w:r w:rsidRPr="005D1ADE">
        <w:rPr>
          <w:rFonts w:ascii="Times New Roman" w:hAnsi="Times New Roman" w:cs="Times New Roman"/>
        </w:rPr>
        <w:t xml:space="preserve"> is a 1xh matrix for the reservation price notations of each individual product</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is a 1xh matrix for the mean reservation price of each individual product</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is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is the determinant of matrix </w:t>
      </w:r>
      <m:oMath>
        <m:r>
          <m:rPr>
            <m:sty m:val="p"/>
          </m:rPr>
          <w:rPr>
            <w:rFonts w:ascii="Cambria Math" w:hAnsi="Cambria Math" w:cs="Times New Roman"/>
          </w:rPr>
          <m:t>Σ</m:t>
        </m:r>
      </m:oMath>
    </w:p>
    <w:p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m:t>
                    </m:r>
                  </m:sub>
                  <m:sup>
                    <m:r>
                      <w:rPr>
                        <w:rFonts w:ascii="Cambria Math" w:hAnsi="Cambria Math" w:cs="Times New Roman"/>
                      </w:rPr>
                      <m:t>2</m:t>
                    </m:r>
                  </m:sup>
                </m:sSubSup>
              </m:e>
            </m:mr>
          </m:m>
          <m:r>
            <w:rPr>
              <w:rFonts w:ascii="Cambria Math" w:hAnsi="Cambria Math" w:cs="Times New Roman"/>
            </w:rPr>
            <m:t>]</m:t>
          </m:r>
        </m:oMath>
      </m:oMathPara>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In this section, the derivation of the purchasing probabilities will be presented similar to the discussion of Bulut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rsidR="00EE0C47" w:rsidRPr="0038066D"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462D92" w:rsidRDefault="00EE0C47" w:rsidP="00EE0C47">
      <w:pPr>
        <w:rPr>
          <w:rFonts w:eastAsiaTheme="minorEastAsia"/>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rsidR="00EE0C47"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rsidR="00EE0C47"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2</w:t>
      </w:r>
    </w:p>
    <w:p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EE0C47" w:rsidRPr="003E070E" w:rsidRDefault="00EE0C47" w:rsidP="00EE0C47">
      <w:pPr>
        <w:rPr>
          <w:rFonts w:eastAsiaTheme="minorEastAsia"/>
        </w:rPr>
      </w:pPr>
    </w:p>
    <w:p w:rsidR="00EE0C47" w:rsidRPr="003E070E"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5F47D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e>
              </m:d>
            </m:e>
          </m:func>
          <m:r>
            <w:rPr>
              <w:rFonts w:ascii="Cambria Math" w:eastAsiaTheme="minorEastAsia" w:hAnsi="Cambria Math"/>
            </w:rPr>
            <m:t xml:space="preserve">, </m:t>
          </m:r>
        </m:oMath>
      </m:oMathPara>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rsidR="00EE0C47" w:rsidRPr="002123EC" w:rsidRDefault="00EE0C47" w:rsidP="00EE0C47">
      <w:pPr>
        <w:rPr>
          <w:rFonts w:eastAsiaTheme="minorEastAsia"/>
        </w:rPr>
      </w:pPr>
      <m:oMathPara>
        <m:oMath>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EE0C47" w:rsidRPr="003E070E" w:rsidRDefault="00EE0C47" w:rsidP="00EE0C47">
      <w:pPr>
        <w:rPr>
          <w:rFonts w:eastAsiaTheme="minorEastAsia"/>
        </w:rPr>
      </w:pPr>
    </w:p>
    <w:p w:rsidR="00EE0C47" w:rsidRPr="003E070E"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e>
          </m:func>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rsidR="00EE0C47"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e>
          </m:func>
        </m:oMath>
      </m:oMathPara>
    </w:p>
    <w:p w:rsidR="00EE0C47" w:rsidRPr="00C95AA1"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w:t>
      </w:r>
    </w:p>
    <w:p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xml:space="preserve">, </m:t>
          </m:r>
        </m:oMath>
      </m:oMathPara>
    </w:p>
    <w:p w:rsidR="00EE0C47" w:rsidRPr="003932B1"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rsidR="00EE0C47" w:rsidRPr="003932B1"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wher</m:t>
          </m:r>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r>
            <w:rPr>
              <w:rFonts w:ascii="Cambria Math" w:eastAsiaTheme="minorEastAsia" w:hAnsi="Cambria Math"/>
            </w:rPr>
            <m:t xml:space="preserve">, </m:t>
          </m:r>
        </m:oMath>
      </m:oMathPara>
    </w:p>
    <w:p w:rsidR="00EE0C47" w:rsidRPr="003932B1"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e>
          </m:func>
        </m:oMath>
      </m:oMathPara>
    </w:p>
    <w:p w:rsidR="00EE0C47" w:rsidRPr="00B47F2B"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rsidR="00EE0C47" w:rsidRDefault="00EE0C47" w:rsidP="00EE0C47">
      <w:pPr>
        <w:rPr>
          <w:rFonts w:eastAsiaTheme="minorEastAsia"/>
        </w:rPr>
      </w:pPr>
    </w:p>
    <w:p w:rsidR="00EE0C47" w:rsidRPr="00935D87"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rsidR="00EE0C47" w:rsidRPr="00935D87" w:rsidRDefault="009C3558"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rsidR="00EE0C47" w:rsidRPr="00935D87" w:rsidRDefault="009C3558"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935D87" w:rsidRDefault="009C3558"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r>
            <w:rPr>
              <w:rFonts w:ascii="Cambria Math" w:eastAsiaTheme="minorEastAsia" w:hAnsi="Cambria Math"/>
            </w:rPr>
            <m:t xml:space="preserve">, </m:t>
          </m:r>
        </m:oMath>
      </m:oMathPara>
    </w:p>
    <w:p w:rsidR="00EE0C47" w:rsidRPr="003932B1"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e>
              </m:d>
            </m:e>
          </m:func>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e>
              </m:d>
            </m:e>
          </m:func>
        </m:oMath>
      </m:oMathPara>
    </w:p>
    <w:p w:rsidR="00EE0C47" w:rsidRPr="00610E46"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should be positive and larger than the surplus from purchasing all other options. The next step to derive the purchasing probability is to translate the reservation price notations in terms of individual product 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f(SPR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f(R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rsidR="00EE0C47" w:rsidRPr="009E29A2" w:rsidRDefault="00EE0C47" w:rsidP="00EE0C47">
      <w:pPr>
        <w:rPr>
          <w:rFonts w:eastAsiaTheme="minorEastAsia"/>
          <w:i/>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rsidR="00EE0C47" w:rsidRDefault="009C3558"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Default="00EE0C47" w:rsidP="00EE0C47">
      <w:pPr>
        <w:spacing w:line="480" w:lineRule="auto"/>
        <w:jc w:val="both"/>
        <w:outlineLvl w:val="1"/>
        <w:rPr>
          <w:rFonts w:ascii="Times New Roman" w:hAnsi="Times New Roman" w:cs="Times New Roman"/>
        </w:rPr>
      </w:pPr>
    </w:p>
    <w:p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tab/>
        <w:t>ii.  With Purchase Option</w:t>
      </w:r>
    </w:p>
    <w:p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rsidR="00EE0C47" w:rsidRPr="00B90F66"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970AE0" w:rsidRDefault="00EE0C47" w:rsidP="00EE0C47">
      <w:pPr>
        <w:rPr>
          <w:rFonts w:eastAsiaTheme="minorEastAsia"/>
        </w:rPr>
      </w:pPr>
    </w:p>
    <w:p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D47AA1"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rsidR="00EE0C47" w:rsidRPr="00601A38"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rsidR="00EE0C47" w:rsidRPr="00601A38"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rsidR="00EE0C47" w:rsidRPr="002123EC"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rsidR="00EE0C47" w:rsidRPr="00D60E60" w:rsidRDefault="00EE0C47" w:rsidP="00EE0C47">
      <w:pPr>
        <w:spacing w:line="480" w:lineRule="auto"/>
        <w:ind w:firstLine="720"/>
        <w:jc w:val="both"/>
        <w:outlineLvl w:val="1"/>
        <w:rPr>
          <w:rFonts w:ascii="Times New Roman" w:hAnsi="Times New Roman" w:cs="Times New Roman"/>
        </w:rPr>
      </w:pPr>
    </w:p>
    <w:p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Probability Derivation with Superadditivity and Subadditivity in Bundle Reservation Prices</w:t>
      </w:r>
    </w:p>
    <w:p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Venkatesh and Kamakura (2003), the reservation price of customers for bundles may not always be strictly additive. The bundle reservation price may be superadditive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of the reservation prices of its components. This superadditivity or subadditivity can be measured through the degree of contingency, </w:t>
      </w:r>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contingency captures the perceived value enhancement or reduction of a bundle within each customer”. </w:t>
      </w:r>
    </w:p>
    <w:p w:rsidR="00EE0C47" w:rsidRPr="00D60E60" w:rsidRDefault="009C3558"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The calculation of the purchasing probabilities can be done similarly as previously discussed. However, the second step involving the translation of RP notations in terms of individual product RP notations only will change as the translation will be different this time, involving the degree of contingency. Nevertheless, the general procedure still applies. Shown below is an example of the calculation of the purchasing probability for the no purchase action with 3 individual products given the superadditive/subadditive reservation prices of the bundles.</w:t>
      </w:r>
    </w:p>
    <w:p w:rsidR="00EE0C47" w:rsidRPr="0038066D"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rsidR="00EE0C47" w:rsidRPr="0038066D" w:rsidRDefault="00EE0C47" w:rsidP="00EE0C47">
      <w:pPr>
        <w:rPr>
          <w:rFonts w:eastAsiaTheme="minorEastAsia"/>
        </w:rPr>
      </w:pPr>
    </w:p>
    <w:p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(1+θ)(</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rsidR="00EE0C47" w:rsidRPr="00462D92" w:rsidRDefault="00EE0C47" w:rsidP="00EE0C47">
      <w:pPr>
        <w:rPr>
          <w:rFonts w:eastAsiaTheme="minorEastAsia"/>
        </w:rPr>
      </w:pPr>
    </w:p>
    <w:p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rsidR="00EE0C47" w:rsidRPr="002123EC" w:rsidRDefault="009C3558"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rsidR="00EE0C47" w:rsidRPr="003C7217" w:rsidRDefault="00EE0C47" w:rsidP="00EE0C47">
      <w:pPr>
        <w:rPr>
          <w:rFonts w:eastAsiaTheme="minorEastAsia"/>
        </w:rPr>
      </w:pPr>
    </w:p>
    <w:p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EE0C47" w:rsidRPr="003E070E" w:rsidRDefault="00EE0C47" w:rsidP="00EE0C47">
      <w:pPr>
        <w:rPr>
          <w:rFonts w:eastAsiaTheme="minorEastAsia"/>
        </w:rPr>
      </w:pPr>
    </w:p>
    <w:p w:rsidR="00EE0C47" w:rsidRPr="003E070E" w:rsidRDefault="00EE0C47" w:rsidP="00EE0C47">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rsidR="00EE0C47" w:rsidRPr="00DF224F"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1+θ</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rsidR="00EE0C47" w:rsidRPr="00D60E60" w:rsidRDefault="00EE0C47" w:rsidP="00EE0C47">
      <w:pPr>
        <w:spacing w:line="480" w:lineRule="auto"/>
        <w:jc w:val="both"/>
        <w:outlineLvl w:val="1"/>
        <w:rPr>
          <w:rFonts w:ascii="Times New Roman" w:hAnsi="Times New Roman" w:cs="Times New Roman"/>
        </w:rPr>
      </w:pPr>
    </w:p>
    <w:p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rates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The demand D</w:t>
      </w:r>
      <w:r w:rsidRPr="00D60E60">
        <w:rPr>
          <w:rFonts w:ascii="Times New Roman" w:hAnsi="Times New Roman" w:cs="Times New Roman"/>
          <w:vertAlign w:val="subscript"/>
        </w:rPr>
        <w:t>jrt</w:t>
      </w:r>
      <w:r w:rsidRPr="00D60E60">
        <w:rPr>
          <w:rFonts w:ascii="Times New Roman" w:hAnsi="Times New Roman" w:cs="Times New Roman"/>
        </w:rPr>
        <w:t xml:space="preserve"> then takes these values.</w:t>
      </w:r>
    </w:p>
    <w:p w:rsidR="00EE0C47" w:rsidRPr="00D60E60" w:rsidRDefault="009C3558"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C47"/>
    <w:rsid w:val="002E0129"/>
    <w:rsid w:val="00706341"/>
    <w:rsid w:val="008B476E"/>
    <w:rsid w:val="009C3558"/>
    <w:rsid w:val="00A1305E"/>
    <w:rsid w:val="00C21F47"/>
    <w:rsid w:val="00EE0C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10272</Words>
  <Characters>58557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Siegfried  C. Barrios</dc:creator>
  <cp:lastModifiedBy>pu</cp:lastModifiedBy>
  <cp:revision>2</cp:revision>
  <dcterms:created xsi:type="dcterms:W3CDTF">2017-06-15T06:42:00Z</dcterms:created>
  <dcterms:modified xsi:type="dcterms:W3CDTF">2017-06-15T06:42:00Z</dcterms:modified>
</cp:coreProperties>
</file>