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A3799E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97619" w:history="1">
            <w:r w:rsidR="00A3799E" w:rsidRPr="00F012EE">
              <w:rPr>
                <w:rStyle w:val="Hyperlink"/>
                <w:noProof/>
              </w:rPr>
              <w:t>1</w:t>
            </w:r>
            <w:r w:rsidR="00A3799E">
              <w:rPr>
                <w:rFonts w:eastAsiaTheme="minorEastAsia"/>
                <w:noProof/>
                <w:sz w:val="22"/>
              </w:rPr>
              <w:tab/>
            </w:r>
            <w:r w:rsidR="00A3799E" w:rsidRPr="00F012EE">
              <w:rPr>
                <w:rStyle w:val="Hyperlink"/>
                <w:noProof/>
              </w:rPr>
              <w:t>Installing the TCIAPlugin in a CTP instance:</w:t>
            </w:r>
            <w:r w:rsidR="00A3799E">
              <w:rPr>
                <w:noProof/>
                <w:webHidden/>
              </w:rPr>
              <w:tab/>
            </w:r>
            <w:r w:rsidR="00A3799E">
              <w:rPr>
                <w:noProof/>
                <w:webHidden/>
              </w:rPr>
              <w:fldChar w:fldCharType="begin"/>
            </w:r>
            <w:r w:rsidR="00A3799E">
              <w:rPr>
                <w:noProof/>
                <w:webHidden/>
              </w:rPr>
              <w:instrText xml:space="preserve"> PAGEREF _Toc501697619 \h </w:instrText>
            </w:r>
            <w:r w:rsidR="00A3799E">
              <w:rPr>
                <w:noProof/>
                <w:webHidden/>
              </w:rPr>
            </w:r>
            <w:r w:rsidR="00A3799E"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3</w:t>
            </w:r>
            <w:r w:rsidR="00A3799E"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0" w:history="1">
            <w:r w:rsidRPr="00F012EE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1" w:history="1">
            <w:r w:rsidRPr="00F012EE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2" w:history="1">
            <w:r w:rsidRPr="00F012EE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3" w:history="1">
            <w:r w:rsidRPr="00F012EE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4" w:history="1">
            <w:r w:rsidRPr="00F012EE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5" w:history="1">
            <w:r w:rsidRPr="00F012EE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6" w:history="1">
            <w:r w:rsidRPr="00F012EE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7" w:history="1">
            <w:r w:rsidRPr="00F012EE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8" w:history="1">
            <w:r w:rsidRPr="00F012EE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29" w:history="1">
            <w:r w:rsidRPr="00F012EE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0" w:history="1">
            <w:r w:rsidRPr="00F012EE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1" w:history="1">
            <w:r w:rsidRPr="00F012EE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2" w:history="1">
            <w:r w:rsidRPr="00F012EE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3" w:history="1">
            <w:r w:rsidRPr="00F012EE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4" w:history="1">
            <w:r w:rsidRPr="00F012EE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5" w:history="1">
            <w:r w:rsidRPr="00F012EE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the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6" w:history="1">
            <w:r w:rsidRPr="00F012EE">
              <w:rPr>
                <w:rStyle w:val="Hyperlink"/>
                <w:noProof/>
              </w:rPr>
              <w:t>4.8.3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the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7" w:history="1">
            <w:r w:rsidRPr="00F012EE">
              <w:rPr>
                <w:rStyle w:val="Hyperlink"/>
                <w:noProof/>
              </w:rPr>
              <w:t>4.8.4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the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8" w:history="1">
            <w:r w:rsidRPr="00F012EE">
              <w:rPr>
                <w:rStyle w:val="Hyperlink"/>
                <w:noProof/>
              </w:rPr>
              <w:t>4.8.5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the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39" w:history="1">
            <w:r w:rsidRPr="00F012EE">
              <w:rPr>
                <w:rStyle w:val="Hyperlink"/>
                <w:noProof/>
              </w:rPr>
              <w:t>4.8.6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the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0" w:history="1">
            <w:r w:rsidRPr="00F012EE">
              <w:rPr>
                <w:rStyle w:val="Hyperlink"/>
                <w:noProof/>
              </w:rPr>
              <w:t>4.8.7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1" w:history="1">
            <w:r w:rsidRPr="00F012EE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2" w:history="1">
            <w:r w:rsidRPr="00F012EE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3" w:history="1">
            <w:r w:rsidRPr="00F012EE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4" w:history="1">
            <w:r w:rsidRPr="00F012EE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5" w:history="1">
            <w:r w:rsidRPr="00F012EE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6" w:history="1">
            <w:r w:rsidRPr="00F012EE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7" w:history="1">
            <w:r w:rsidRPr="00F012EE">
              <w:rPr>
                <w:rStyle w:val="Hyperlink"/>
                <w:noProof/>
              </w:rPr>
              <w:t>4.10.3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8" w:history="1">
            <w:r w:rsidRPr="00F012EE">
              <w:rPr>
                <w:rStyle w:val="Hyperlink"/>
                <w:noProof/>
              </w:rPr>
              <w:t>4.10.4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49" w:history="1">
            <w:r w:rsidRPr="00F012EE">
              <w:rPr>
                <w:rStyle w:val="Hyperlink"/>
                <w:noProof/>
              </w:rPr>
              <w:t>4.10.5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50" w:history="1">
            <w:r w:rsidRPr="00F012EE">
              <w:rPr>
                <w:rStyle w:val="Hyperlink"/>
                <w:rFonts w:eastAsia="Times New Roman"/>
                <w:noProof/>
              </w:rPr>
              <w:t>4.10.6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9E" w:rsidRDefault="00A3799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697651" w:history="1">
            <w:r w:rsidRPr="00F012EE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012EE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501697619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1697620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="20"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="9000"/&gt;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="104"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="7777"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="7778"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E74114" w:rsidRDefault="00BE45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BE45DA">
        <w:rPr>
          <w:rFonts w:ascii="Courier New" w:hAnsi="Courier New" w:cs="Courier New"/>
          <w:b/>
          <w:sz w:val="20"/>
          <w:szCs w:val="20"/>
        </w:rPr>
        <w:cr/>
      </w:r>
      <w:r w:rsidR="00E74114"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 w:rsidR="00E74114"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501697621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501697622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501697623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501697624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501697625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501697626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1697627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9" w:name="_Toc501697628"/>
      <w:r>
        <w:rPr>
          <w:rFonts w:eastAsia="Times New Roman"/>
        </w:rPr>
        <w:t xml:space="preserve">Viewing the </w:t>
      </w:r>
      <w:r>
        <w:rPr>
          <w:rFonts w:eastAsia="Times New Roman"/>
        </w:rPr>
        <w:t>Status of the Import Pipeline</w:t>
      </w:r>
      <w:bookmarkEnd w:id="9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</w:t>
      </w:r>
      <w:bookmarkStart w:id="10" w:name="_GoBack"/>
      <w:bookmarkEnd w:id="10"/>
      <w:r>
        <w:rPr>
          <w:rFonts w:ascii="Calibri" w:eastAsia="Times New Roman" w:hAnsi="Calibri" w:cs="Calibri"/>
          <w:color w:val="000000"/>
          <w:szCs w:val="24"/>
        </w:rPr>
        <w:t>ute is zero, all the received files have been passed down the pipeline and are ready for anonymization.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1" w:name="_Toc501697629"/>
      <w:r>
        <w:rPr>
          <w:rFonts w:eastAsia="Times New Roman"/>
        </w:rPr>
        <w:lastRenderedPageBreak/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1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  <w:r w:rsidR="00FA5C2D">
        <w:rPr>
          <w:noProof/>
        </w:rPr>
        <w:drawing>
          <wp:inline distT="0" distB="0" distL="0" distR="0" wp14:anchorId="3D39DB9A" wp14:editId="72242BD4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501697630"/>
      <w:r>
        <w:rPr>
          <w:rFonts w:eastAsia="Times New Roman"/>
        </w:rPr>
        <w:t>Submitting Files for Anonymization</w:t>
      </w:r>
      <w:bookmarkEnd w:id="12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lastRenderedPageBreak/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3" w:name="_Toc501697631"/>
      <w:r>
        <w:rPr>
          <w:rFonts w:eastAsia="Times New Roman"/>
        </w:rPr>
        <w:t>Viewing the List of Files Ready for Export</w:t>
      </w:r>
      <w:bookmarkEnd w:id="13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FA5C2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32E67B70" wp14:editId="766AF647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4" w:name="_Toc501697632"/>
      <w:r>
        <w:rPr>
          <w:rFonts w:eastAsia="Times New Roman"/>
        </w:rPr>
        <w:lastRenderedPageBreak/>
        <w:t>Exporting Files</w:t>
      </w:r>
      <w:bookmarkEnd w:id="14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5" w:name="_Toc501697633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5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16" w:name="_Toc501697634"/>
      <w:r>
        <w:t>Clearing the M</w:t>
      </w:r>
      <w:r w:rsidR="00032BF3">
        <w:t>anifest</w:t>
      </w:r>
      <w:bookmarkEnd w:id="16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17" w:name="_Toc501697635"/>
      <w:r>
        <w:t>Getting the Manifest Status</w:t>
      </w:r>
      <w:bookmarkEnd w:id="17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18" w:name="_Toc501697636"/>
      <w:r>
        <w:t>Listing the 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18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011B5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2F74E8E" wp14:editId="1A5D9C28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19" w:name="_Toc501697637"/>
      <w:r>
        <w:t>Listing the Manifest without PHI as XML</w:t>
      </w:r>
      <w:bookmarkEnd w:id="19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011B5" w:rsidP="003011B5">
      <w:pPr>
        <w:spacing w:after="0"/>
      </w:pPr>
      <w:r>
        <w:rPr>
          <w:noProof/>
        </w:rPr>
        <w:drawing>
          <wp:inline distT="0" distB="0" distL="0" distR="0" wp14:anchorId="663FCCF5" wp14:editId="6F3E753F">
            <wp:extent cx="5943600" cy="3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20" w:name="_Toc501697638"/>
      <w:r>
        <w:lastRenderedPageBreak/>
        <w:t>Listing the 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20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>The resulting spreadsheet has two rows for each series, one for the anonymized values and one for the PHI values. Series are separated in the spreadsheet by blank lines.</w:t>
      </w:r>
    </w:p>
    <w:p w:rsidR="0074741E" w:rsidRDefault="0074741E" w:rsidP="0074741E">
      <w:pPr>
        <w:pStyle w:val="Heading3"/>
      </w:pPr>
      <w:bookmarkStart w:id="21" w:name="_Toc501697639"/>
      <w:r>
        <w:t>Listing the Manifest with</w:t>
      </w:r>
      <w:r w:rsidR="00170F55">
        <w:t>out</w:t>
      </w:r>
      <w:r>
        <w:t xml:space="preserve"> PHI as CSV</w:t>
      </w:r>
      <w:bookmarkEnd w:id="21"/>
    </w:p>
    <w:p w:rsidR="0074741E" w:rsidRDefault="0074741E" w:rsidP="0074741E">
      <w:pPr>
        <w:spacing w:after="0"/>
      </w:pPr>
      <w:r>
        <w:t>The wizard can obtain a text string containing the manifest as a spreadsheet by making an AJAX call 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74741E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AJAX call returns a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22" w:name="_Toc501697640"/>
      <w:r>
        <w:t>Exporting the M</w:t>
      </w:r>
      <w:r w:rsidR="00632A40">
        <w:t>anifest</w:t>
      </w:r>
      <w:bookmarkEnd w:id="22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23" w:name="_Toc501697641"/>
      <w:r>
        <w:rPr>
          <w:rFonts w:eastAsia="Times New Roman"/>
        </w:rPr>
        <w:t>Image Functions</w:t>
      </w:r>
      <w:bookmarkEnd w:id="23"/>
    </w:p>
    <w:p w:rsidR="00C51DF8" w:rsidRDefault="00C51DF8" w:rsidP="00C51DF8">
      <w:pPr>
        <w:pStyle w:val="Heading3"/>
      </w:pPr>
      <w:bookmarkStart w:id="24" w:name="_Toc501697642"/>
      <w:r>
        <w:t>Listing the Elements of a DICOM File</w:t>
      </w:r>
      <w:bookmarkEnd w:id="24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25" w:name="_Toc501697643"/>
      <w:r>
        <w:t>Getting a JPEG Image from a DICOM File</w:t>
      </w:r>
      <w:bookmarkEnd w:id="25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6" w:name="_Toc501697644"/>
      <w:r>
        <w:rPr>
          <w:rFonts w:eastAsia="Times New Roman"/>
        </w:rPr>
        <w:lastRenderedPageBreak/>
        <w:t>Special Functions</w:t>
      </w:r>
      <w:bookmarkEnd w:id="26"/>
    </w:p>
    <w:p w:rsidR="00EF6C97" w:rsidRDefault="00EF6C97" w:rsidP="00EF6C97">
      <w:pPr>
        <w:pStyle w:val="Heading3"/>
      </w:pPr>
      <w:bookmarkStart w:id="27" w:name="_Toc501697645"/>
      <w:r>
        <w:t>Getting the List of File System Roots on the Server</w:t>
      </w:r>
      <w:bookmarkEnd w:id="27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28" w:name="_Toc501697646"/>
      <w:r>
        <w:t>Getting the Available Space on the Server</w:t>
      </w:r>
      <w:bookmarkEnd w:id="28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29" w:name="_Toc501697647"/>
      <w:r>
        <w:t>Getting the Export Queue Size</w:t>
      </w:r>
      <w:bookmarkEnd w:id="29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30" w:name="_Toc501697648"/>
      <w:r>
        <w:t>Getting the URL of the Quarantine Manager Servlet</w:t>
      </w:r>
      <w:bookmarkEnd w:id="30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1" w:name="_Toc501697649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1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32" w:name="_Toc501697650"/>
      <w:r>
        <w:rPr>
          <w:rFonts w:eastAsia="Times New Roman"/>
        </w:rPr>
        <w:t>Shutting Down the Server</w:t>
      </w:r>
      <w:bookmarkEnd w:id="32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33" w:name="_Toc501697651"/>
      <w:r w:rsidRPr="00BF46EE">
        <w:rPr>
          <w:rFonts w:eastAsia="Times New Roman"/>
        </w:rPr>
        <w:t>Testing Functions</w:t>
      </w:r>
      <w:bookmarkEnd w:id="33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EA" w:rsidRDefault="00BA23EA" w:rsidP="00993DBE">
      <w:pPr>
        <w:spacing w:after="0"/>
      </w:pPr>
      <w:r>
        <w:separator/>
      </w:r>
    </w:p>
  </w:endnote>
  <w:endnote w:type="continuationSeparator" w:id="0">
    <w:p w:rsidR="00BA23EA" w:rsidRDefault="00BA23EA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D8" w:rsidRDefault="00DC34D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34D8" w:rsidRDefault="00DC34D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C51C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DC34D8" w:rsidRDefault="00DC34D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C51C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C34D8" w:rsidRDefault="00DC3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EA" w:rsidRDefault="00BA23EA" w:rsidP="00993DBE">
      <w:pPr>
        <w:spacing w:after="0"/>
      </w:pPr>
      <w:r>
        <w:separator/>
      </w:r>
    </w:p>
  </w:footnote>
  <w:footnote w:type="continuationSeparator" w:id="0">
    <w:p w:rsidR="00BA23EA" w:rsidRDefault="00BA23EA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36022"/>
    <w:rsid w:val="00137664"/>
    <w:rsid w:val="001439EE"/>
    <w:rsid w:val="00166A00"/>
    <w:rsid w:val="00170F55"/>
    <w:rsid w:val="001958C8"/>
    <w:rsid w:val="001961AD"/>
    <w:rsid w:val="001B7CEF"/>
    <w:rsid w:val="001E7685"/>
    <w:rsid w:val="00201C14"/>
    <w:rsid w:val="00201C6D"/>
    <w:rsid w:val="0022371B"/>
    <w:rsid w:val="00231EAC"/>
    <w:rsid w:val="002429A8"/>
    <w:rsid w:val="0027156E"/>
    <w:rsid w:val="002A3F68"/>
    <w:rsid w:val="002B16BB"/>
    <w:rsid w:val="002E5BFD"/>
    <w:rsid w:val="003011B5"/>
    <w:rsid w:val="0039526A"/>
    <w:rsid w:val="003B0340"/>
    <w:rsid w:val="003D60A3"/>
    <w:rsid w:val="003E6A89"/>
    <w:rsid w:val="003F2792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34C6"/>
    <w:rsid w:val="006A4422"/>
    <w:rsid w:val="006B15A1"/>
    <w:rsid w:val="006F2214"/>
    <w:rsid w:val="006F23D4"/>
    <w:rsid w:val="00737CAB"/>
    <w:rsid w:val="0074741E"/>
    <w:rsid w:val="00765146"/>
    <w:rsid w:val="00771128"/>
    <w:rsid w:val="007A5173"/>
    <w:rsid w:val="007C7AA5"/>
    <w:rsid w:val="007D69A6"/>
    <w:rsid w:val="007E14AA"/>
    <w:rsid w:val="007E4EA4"/>
    <w:rsid w:val="007E6907"/>
    <w:rsid w:val="00876E4C"/>
    <w:rsid w:val="008C561A"/>
    <w:rsid w:val="008F4E78"/>
    <w:rsid w:val="009032FD"/>
    <w:rsid w:val="00914D6B"/>
    <w:rsid w:val="00914FE8"/>
    <w:rsid w:val="009271F3"/>
    <w:rsid w:val="009317B0"/>
    <w:rsid w:val="0098019E"/>
    <w:rsid w:val="00993DBE"/>
    <w:rsid w:val="009F4B72"/>
    <w:rsid w:val="009F66EE"/>
    <w:rsid w:val="00A03FF0"/>
    <w:rsid w:val="00A05E82"/>
    <w:rsid w:val="00A21A0C"/>
    <w:rsid w:val="00A23528"/>
    <w:rsid w:val="00A3799E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A23EA"/>
    <w:rsid w:val="00BD4E9F"/>
    <w:rsid w:val="00BE45DA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D156AB"/>
    <w:rsid w:val="00D4397C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E02A9A"/>
    <w:rsid w:val="00E15CF1"/>
    <w:rsid w:val="00E74114"/>
    <w:rsid w:val="00E9710A"/>
    <w:rsid w:val="00EB6FD2"/>
    <w:rsid w:val="00EC51C9"/>
    <w:rsid w:val="00EF1EEF"/>
    <w:rsid w:val="00EF6C97"/>
    <w:rsid w:val="00F04C19"/>
    <w:rsid w:val="00F2416D"/>
    <w:rsid w:val="00F41EEB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5DED-2F7B-477B-BF11-A5BB9A7D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3485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114</cp:revision>
  <cp:lastPrinted>2017-12-22T15:18:00Z</cp:lastPrinted>
  <dcterms:created xsi:type="dcterms:W3CDTF">2017-11-10T02:09:00Z</dcterms:created>
  <dcterms:modified xsi:type="dcterms:W3CDTF">2017-12-22T15:18:00Z</dcterms:modified>
</cp:coreProperties>
</file>