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× 教育-就业联动：基于 O*NET 的向量化渗透率评估模型</w:t>
        <w:br/>
        <w:t>技术品审上报报告（可审计版本）</w:t>
      </w:r>
    </w:p>
    <w:p>
      <w:pPr>
        <w:jc w:val="center"/>
      </w:pPr>
      <w:r>
        <w:rPr>
          <w:sz w:val="24"/>
        </w:rPr>
        <w:t>教育侧优先：用 Skill/Knowledge/Work Activities 三类 Index 驱动课程改造与学生职业路径</w:t>
        <w:br/>
        <w:t>（职业侧 Job Index 作为汇总参照口径）</w:t>
      </w:r>
    </w:p>
    <w:p>
      <w:pPr>
        <w:jc w:val="center"/>
      </w:pPr>
      <w:r>
        <w:rPr>
          <w:sz w:val="22"/>
        </w:rPr>
        <w:t>版本：v1.1｜日期：2026-02-01｜作者：项目组</w:t>
      </w:r>
    </w:p>
    <w:p>
      <w:r>
        <w:br w:type="page"/>
      </w:r>
    </w:p>
    <w:p>
      <w:r>
        <w:t>目录（建议插入自动目录：Word → 引用 → 目录；如已插入，右键“更新域”。）</w:t>
      </w:r>
    </w:p>
    <w:p>
      <w:r>
        <w:br w:type="page"/>
      </w:r>
    </w:p>
    <w:p>
      <w:pPr>
        <w:pStyle w:val="Heading1"/>
      </w:pPr>
      <w:r>
        <w:t>报告摘要</w:t>
      </w:r>
    </w:p>
    <w:p>
      <w:r>
        <w:t>本报告整理并固化了项目组在评审沟通中阐述的完整逻辑链条：模型位于“教育侧—政府侧”的中间层，核心目标是用一个可解释、可计算、可替换数据的框架，把教育系统（课程/专业/学生）与就业系统（职业/岗位）连接起来。我们首先从“职业规划”入手识别连接点：几乎所有学校都存在就业指导部门，但直接模拟职业规划或直接模拟职业本身并不现实（医生、会计、消防员、警察等差异巨大）。因此我们把职业分解为三层：Skills（技能）、Knowledge（知识）、Tasks/Work Activities（工作任务/活动），并选择 O*NET 作为统一数据底座。</w:t>
      </w:r>
    </w:p>
    <w:p>
      <w:r>
        <w:t>在 O*NET 的思路基础上，我们进一步做数学化处理：把每个 Skill/Knowledge/Task 映射到 CTS（三维：Cognitive/Technical/Social）空间中的向量；再为 AI 在该要素上的影响定义同维向量；通过点积生成 Skill Index / Knowledge Index / Working Activities Index，作为模型最关键的原子输出。最后，把 O*NET 的重要度(Importance)作为权重，对三类 Index 分层加权并聚合为 Job Index；同样的方法也可用于课程：将课程拆解为其培养的 skills/knowledge/activities，形成 Course Index。</w:t>
      </w:r>
    </w:p>
    <w:p>
      <w:r>
        <w:t>需要特别说明：当前评审展示版本中，AI 影响向量来自合成数据（团队规则 + 数据合成 + 大语言模型辅助判断），并非真实世界统计。但该模块是可替换的：若模型进入学校/政府正式使用场景，可通过问卷、访谈、教学与岗位数据统计生成真实的 AI 向量，从而把架构级模型升级为可审计、可验证的决策工具。此外，AI 不仅限于大语言模型；后续可按语言/视觉/音频等模型族分别构造 AI 向量并输出多维指数。</w:t>
      </w:r>
    </w:p>
    <w:p>
      <w:pPr>
        <w:pStyle w:val="Heading1"/>
      </w:pPr>
      <w:r>
        <w:t>1. Approach Explaination</w:t>
      </w:r>
    </w:p>
    <w:p>
      <w:pPr>
        <w:pStyle w:val="Heading2"/>
      </w:pPr>
      <w:r>
        <w:t>1.1 定位：教育侧与政府侧的“中间层”模型</w:t>
      </w:r>
    </w:p>
    <w:p>
      <w:r>
        <w:t>项目组的第一性设定是：模型必须被放置在教育侧与政府侧之间，而不是偏向任一端。政府关心劳动力结构与职业演化；学校关心课程结构与学生发展；企业关心岗位任务与绩效。如果缺乏统一表示层，三方难以在同一尺度上讨论“AI 究竟影响了什么”。</w:t>
      </w:r>
    </w:p>
    <w:p>
      <w:pPr>
        <w:pStyle w:val="Heading2"/>
      </w:pPr>
      <w:r>
        <w:t>1.2 连接教育与就业的最短路径：职业规划，但必须下沉到要素</w:t>
      </w:r>
    </w:p>
    <w:p>
      <w:r>
        <w:t>我们从职业规划（Career/Vocational Planning）切入，因为它在现实世界中天然存在。但职业规划过程不适合直接建模：个体偏好、机会约束与行业变化高度异质。因此模型不模拟职业规划本身，而是把职业规划依赖的对象（职业）拆解成可度量要素。</w:t>
      </w:r>
    </w:p>
    <w:p>
      <w:pPr>
        <w:pStyle w:val="Heading2"/>
      </w:pPr>
      <w:r>
        <w:t>1.3 核心输出优先级：一级要素指数 &gt; 二级职业汇总指数</w:t>
      </w:r>
    </w:p>
    <w:p>
      <w:r>
        <w:t>教育侧可直接改变的是课程与学习活动，因此模型的一级产出是 Skill/Knowledge/Work Activity 的细粒度指数（Ĩ_s/Ĩ_k/Ĩ_a）。Job Index 作为政府侧汇总口径，也作为教育侧参照系，但不应替代一级指数的解释力。</w:t>
      </w:r>
    </w:p>
    <w:p>
      <w:pPr>
        <w:pStyle w:val="Heading2"/>
      </w:pPr>
      <w:r>
        <w:t>1.4 品审关键要求：可解释、可替换、可扩展、可版本化</w:t>
      </w:r>
    </w:p>
    <w:p>
      <w:r>
        <w:t>- 可解释：指数=点积；聚合=加权求和。</w:t>
        <w:br/>
        <w:t>- 可替换：AI 向量可由合成→真实；课程映射权重可由规则→结构化数据。</w:t>
        <w:br/>
        <w:t>- 可扩展：AI 可按模型族输出子指数；向量维度可扩展。</w:t>
        <w:br/>
        <w:t>- 可版本化：rubric、向量、归一化基准、权重方案均需版本控制。</w:t>
      </w:r>
    </w:p>
    <w:p>
      <w:pPr>
        <w:pStyle w:val="Heading1"/>
      </w:pPr>
      <w:r>
        <w:t>2. 思路 trace</w:t>
      </w:r>
    </w:p>
    <w:p>
      <w:pPr>
        <w:pStyle w:val="Heading2"/>
      </w:pPr>
      <w:r>
        <w:t>2.1 为什么不能直接模拟职业（Job）</w:t>
      </w:r>
    </w:p>
    <w:p>
      <w:r>
        <w:t>“如何用一个数学模型模拟医生/会计/消防员/警察？”这一反问揭示了职业层建模的困难。职业差异巨大、任务结构不同、工具体系迥异。职业层直接建模要么过于抽象失真，要么过于复杂不可解释。</w:t>
      </w:r>
    </w:p>
    <w:p>
      <w:pPr>
        <w:pStyle w:val="Heading2"/>
      </w:pPr>
      <w:r>
        <w:t>2.2 拆解策略：Job → Skills / Knowledge / Tasks(Work Activities)</w:t>
      </w:r>
    </w:p>
    <w:p>
      <w:r>
        <w:t>我们把职业拆解为三层：Skills（技能）、Knowledge（知识）、Tasks/Work Activities（工作任务/活动）。三类对象更稳定、更容易量化，也更容易映射到教育侧的课程与训练模块。</w:t>
      </w:r>
    </w:p>
    <w:p>
      <w:pPr>
        <w:pStyle w:val="Heading2"/>
      </w:pPr>
      <w:r>
        <w:t>2.3 为什么选择 O*NET 作为数据底座</w:t>
      </w:r>
    </w:p>
    <w:p>
      <w:r>
        <w:t>O*NET 为大量职业提供结构化的 skills/knowledge/activities 条目与重要度评分。方法上属于“定性×定量”的混合：用条目描述职业，用量表表达重要性。这与我们的“要素集合 + 权重聚合”思想天然一致。</w:t>
      </w:r>
    </w:p>
    <w:p>
      <w:pPr>
        <w:pStyle w:val="Heading1"/>
      </w:pPr>
      <w:r>
        <w:t>3. dataset and variable define</w:t>
      </w:r>
    </w:p>
    <w:p>
      <w:pPr>
        <w:pStyle w:val="Heading2"/>
      </w:pPr>
      <w:r>
        <w:t>3.1 数据实体与主键</w:t>
      </w:r>
    </w:p>
    <w:p>
      <w:r>
        <w:t>建议采用 O*NET-SOC code 作为职业主键，Element ID 作为 skills/knowledge/activities 主键，保证与数据字典一致并可追溯。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实体</w:t>
            </w:r>
          </w:p>
        </w:tc>
        <w:tc>
          <w:tcPr>
            <w:tcW w:type="dxa" w:w="1872"/>
          </w:tcPr>
          <w:p>
            <w:r>
              <w:t>集合符号</w:t>
            </w:r>
          </w:p>
        </w:tc>
        <w:tc>
          <w:tcPr>
            <w:tcW w:type="dxa" w:w="1872"/>
          </w:tcPr>
          <w:p>
            <w:r>
              <w:t>主键建议</w:t>
            </w:r>
          </w:p>
        </w:tc>
        <w:tc>
          <w:tcPr>
            <w:tcW w:type="dxa" w:w="1872"/>
          </w:tcPr>
          <w:p>
            <w:r>
              <w:t>来源</w:t>
            </w:r>
          </w:p>
        </w:tc>
        <w:tc>
          <w:tcPr>
            <w:tcW w:type="dxa" w:w="1872"/>
          </w:tcPr>
          <w:p>
            <w:r>
              <w:t>备注</w:t>
            </w:r>
          </w:p>
        </w:tc>
      </w:tr>
      <w:tr>
        <w:tc>
          <w:tcPr>
            <w:tcW w:type="dxa" w:w="1872"/>
          </w:tcPr>
          <w:p>
            <w:r>
              <w:t>Occupation（职业）</w:t>
            </w:r>
          </w:p>
        </w:tc>
        <w:tc>
          <w:tcPr>
            <w:tcW w:type="dxa" w:w="1872"/>
          </w:tcPr>
          <w:p>
            <w:r>
              <w:t>j∈𝒥</w:t>
            </w:r>
          </w:p>
        </w:tc>
        <w:tc>
          <w:tcPr>
            <w:tcW w:type="dxa" w:w="1872"/>
          </w:tcPr>
          <w:p>
            <w:r>
              <w:t>O*NET-SOC</w:t>
            </w:r>
          </w:p>
        </w:tc>
        <w:tc>
          <w:tcPr>
            <w:tcW w:type="dxa" w:w="1872"/>
          </w:tcPr>
          <w:p>
            <w:r>
              <w:t>O*NET</w:t>
            </w:r>
          </w:p>
        </w:tc>
        <w:tc>
          <w:tcPr>
            <w:tcW w:type="dxa" w:w="1872"/>
          </w:tcPr>
          <w:p>
            <w:r>
              <w:t>可按 SOC 版本管理</w:t>
            </w:r>
          </w:p>
        </w:tc>
      </w:tr>
      <w:tr>
        <w:tc>
          <w:tcPr>
            <w:tcW w:type="dxa" w:w="1872"/>
          </w:tcPr>
          <w:p>
            <w:r>
              <w:t>Skill（技能）</w:t>
            </w:r>
          </w:p>
        </w:tc>
        <w:tc>
          <w:tcPr>
            <w:tcW w:type="dxa" w:w="1872"/>
          </w:tcPr>
          <w:p>
            <w:r>
              <w:t>s∈𝒮</w:t>
            </w:r>
          </w:p>
        </w:tc>
        <w:tc>
          <w:tcPr>
            <w:tcW w:type="dxa" w:w="1872"/>
          </w:tcPr>
          <w:p>
            <w:r>
              <w:t>Element ID</w:t>
            </w:r>
          </w:p>
        </w:tc>
        <w:tc>
          <w:tcPr>
            <w:tcW w:type="dxa" w:w="1872"/>
          </w:tcPr>
          <w:p>
            <w:r>
              <w:t>O*NET Skills</w:t>
            </w:r>
          </w:p>
        </w:tc>
        <w:tc>
          <w:tcPr>
            <w:tcW w:type="dxa" w:w="1872"/>
          </w:tcPr>
          <w:p>
            <w:r>
              <w:t>职业-技能有 Importance</w:t>
            </w:r>
          </w:p>
        </w:tc>
      </w:tr>
      <w:tr>
        <w:tc>
          <w:tcPr>
            <w:tcW w:type="dxa" w:w="1872"/>
          </w:tcPr>
          <w:p>
            <w:r>
              <w:t>Knowledge（知识）</w:t>
            </w:r>
          </w:p>
        </w:tc>
        <w:tc>
          <w:tcPr>
            <w:tcW w:type="dxa" w:w="1872"/>
          </w:tcPr>
          <w:p>
            <w:r>
              <w:t>k∈𝒦</w:t>
            </w:r>
          </w:p>
        </w:tc>
        <w:tc>
          <w:tcPr>
            <w:tcW w:type="dxa" w:w="1872"/>
          </w:tcPr>
          <w:p>
            <w:r>
              <w:t>Element ID</w:t>
            </w:r>
          </w:p>
        </w:tc>
        <w:tc>
          <w:tcPr>
            <w:tcW w:type="dxa" w:w="1872"/>
          </w:tcPr>
          <w:p>
            <w:r>
              <w:t>O*NET Knowledge</w:t>
            </w:r>
          </w:p>
        </w:tc>
        <w:tc>
          <w:tcPr>
            <w:tcW w:type="dxa" w:w="1872"/>
          </w:tcPr>
          <w:p>
            <w:r>
              <w:t>职业-知识有 Importance</w:t>
            </w:r>
          </w:p>
        </w:tc>
      </w:tr>
      <w:tr>
        <w:tc>
          <w:tcPr>
            <w:tcW w:type="dxa" w:w="1872"/>
          </w:tcPr>
          <w:p>
            <w:r>
              <w:t>Work Activity（任务/活动）</w:t>
            </w:r>
          </w:p>
        </w:tc>
        <w:tc>
          <w:tcPr>
            <w:tcW w:type="dxa" w:w="1872"/>
          </w:tcPr>
          <w:p>
            <w:r>
              <w:t>a∈𝒜</w:t>
            </w:r>
          </w:p>
        </w:tc>
        <w:tc>
          <w:tcPr>
            <w:tcW w:type="dxa" w:w="1872"/>
          </w:tcPr>
          <w:p>
            <w:r>
              <w:t>Element ID</w:t>
            </w:r>
          </w:p>
        </w:tc>
        <w:tc>
          <w:tcPr>
            <w:tcW w:type="dxa" w:w="1872"/>
          </w:tcPr>
          <w:p>
            <w:r>
              <w:t>O*NET Work Activities</w:t>
            </w:r>
          </w:p>
        </w:tc>
        <w:tc>
          <w:tcPr>
            <w:tcW w:type="dxa" w:w="1872"/>
          </w:tcPr>
          <w:p>
            <w:r>
              <w:t>职业-活动有 Importance</w:t>
            </w:r>
          </w:p>
        </w:tc>
      </w:tr>
      <w:tr>
        <w:tc>
          <w:tcPr>
            <w:tcW w:type="dxa" w:w="1872"/>
          </w:tcPr>
          <w:p>
            <w:r>
              <w:t>Course（课程）</w:t>
            </w:r>
          </w:p>
        </w:tc>
        <w:tc>
          <w:tcPr>
            <w:tcW w:type="dxa" w:w="1872"/>
          </w:tcPr>
          <w:p>
            <w:r>
              <w:t>c∈𝒞</w:t>
            </w:r>
          </w:p>
        </w:tc>
        <w:tc>
          <w:tcPr>
            <w:tcW w:type="dxa" w:w="1872"/>
          </w:tcPr>
          <w:p>
            <w:r>
              <w:t>课程代码</w:t>
            </w:r>
          </w:p>
        </w:tc>
        <w:tc>
          <w:tcPr>
            <w:tcW w:type="dxa" w:w="1872"/>
          </w:tcPr>
          <w:p>
            <w:r>
              <w:t>学校/教务系统</w:t>
            </w:r>
          </w:p>
        </w:tc>
        <w:tc>
          <w:tcPr>
            <w:tcW w:type="dxa" w:w="1872"/>
          </w:tcPr>
          <w:p>
            <w:r>
              <w:t>需映射到 s/k/a</w:t>
            </w:r>
          </w:p>
        </w:tc>
      </w:tr>
    </w:tbl>
    <w:p>
      <w:pPr>
        <w:pStyle w:val="Heading2"/>
      </w:pPr>
      <w:r>
        <w:t>3.2 关键变量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变量</w:t>
            </w:r>
          </w:p>
        </w:tc>
        <w:tc>
          <w:tcPr>
            <w:tcW w:type="dxa" w:w="2340"/>
          </w:tcPr>
          <w:p>
            <w:r>
              <w:t>符号</w:t>
            </w:r>
          </w:p>
        </w:tc>
        <w:tc>
          <w:tcPr>
            <w:tcW w:type="dxa" w:w="2340"/>
          </w:tcPr>
          <w:p>
            <w:r>
              <w:t>范围</w:t>
            </w:r>
          </w:p>
        </w:tc>
        <w:tc>
          <w:tcPr>
            <w:tcW w:type="dxa" w:w="2340"/>
          </w:tcPr>
          <w:p>
            <w:r>
              <w:t>解释</w:t>
            </w:r>
          </w:p>
        </w:tc>
      </w:tr>
      <w:tr>
        <w:tc>
          <w:tcPr>
            <w:tcW w:type="dxa" w:w="2340"/>
          </w:tcPr>
          <w:p>
            <w:r>
              <w:t>O*NET 重要度</w:t>
            </w:r>
          </w:p>
        </w:tc>
        <w:tc>
          <w:tcPr>
            <w:tcW w:type="dxa" w:w="2340"/>
          </w:tcPr>
          <w:p>
            <w:r>
              <w:t>Imp_{j,x}</w:t>
            </w:r>
          </w:p>
        </w:tc>
        <w:tc>
          <w:tcPr>
            <w:tcW w:type="dxa" w:w="2340"/>
          </w:tcPr>
          <w:p>
            <w:r>
              <w:t>量表（如 1–5）或展示映射 0–100</w:t>
            </w:r>
          </w:p>
        </w:tc>
        <w:tc>
          <w:tcPr>
            <w:tcW w:type="dxa" w:w="2340"/>
          </w:tcPr>
          <w:p>
            <w:r>
              <w:t>职业 j 中要素 x 的相对重要性</w:t>
            </w:r>
          </w:p>
        </w:tc>
      </w:tr>
      <w:tr>
        <w:tc>
          <w:tcPr>
            <w:tcW w:type="dxa" w:w="2340"/>
          </w:tcPr>
          <w:p>
            <w:r>
              <w:t>要素原始向量</w:t>
            </w:r>
          </w:p>
        </w:tc>
        <w:tc>
          <w:tcPr>
            <w:tcW w:type="dxa" w:w="2340"/>
          </w:tcPr>
          <w:p>
            <w:r>
              <w:t>r_x</w:t>
            </w:r>
          </w:p>
        </w:tc>
        <w:tc>
          <w:tcPr>
            <w:tcW w:type="dxa" w:w="2340"/>
          </w:tcPr>
          <w:p>
            <w:r>
              <w:t>[0,1]^3 或 [0,5]^3</w:t>
            </w:r>
          </w:p>
        </w:tc>
        <w:tc>
          <w:tcPr>
            <w:tcW w:type="dxa" w:w="2340"/>
          </w:tcPr>
          <w:p>
            <w:r>
              <w:t>要素 x 的 CTS 评分</w:t>
            </w:r>
          </w:p>
        </w:tc>
      </w:tr>
      <w:tr>
        <w:tc>
          <w:tcPr>
            <w:tcW w:type="dxa" w:w="2340"/>
          </w:tcPr>
          <w:p>
            <w:r>
              <w:t>要素归一化向量</w:t>
            </w:r>
          </w:p>
        </w:tc>
        <w:tc>
          <w:tcPr>
            <w:tcW w:type="dxa" w:w="2340"/>
          </w:tcPr>
          <w:p>
            <w:r>
              <w:t>v_x</w:t>
            </w:r>
          </w:p>
        </w:tc>
        <w:tc>
          <w:tcPr>
            <w:tcW w:type="dxa" w:w="2340"/>
          </w:tcPr>
          <w:p>
            <w:r>
              <w:t>非负，∑=1</w:t>
            </w:r>
          </w:p>
        </w:tc>
        <w:tc>
          <w:tcPr>
            <w:tcW w:type="dxa" w:w="2340"/>
          </w:tcPr>
          <w:p>
            <w:r>
              <w:t>L1 归一化后的结构向量</w:t>
            </w:r>
          </w:p>
        </w:tc>
      </w:tr>
      <w:tr>
        <w:tc>
          <w:tcPr>
            <w:tcW w:type="dxa" w:w="2340"/>
          </w:tcPr>
          <w:p>
            <w:r>
              <w:t>AI 原始影响向量</w:t>
            </w:r>
          </w:p>
        </w:tc>
        <w:tc>
          <w:tcPr>
            <w:tcW w:type="dxa" w:w="2340"/>
          </w:tcPr>
          <w:p>
            <w:r>
              <w:t>q_x</w:t>
            </w:r>
          </w:p>
        </w:tc>
        <w:tc>
          <w:tcPr>
            <w:tcW w:type="dxa" w:w="2340"/>
          </w:tcPr>
          <w:p>
            <w:r>
              <w:t>[0,1]^3 或 [0,5]^3</w:t>
            </w:r>
          </w:p>
        </w:tc>
        <w:tc>
          <w:tcPr>
            <w:tcW w:type="dxa" w:w="2340"/>
          </w:tcPr>
          <w:p>
            <w:r>
              <w:t>AI 对要素 x 的 CTS 影响评分</w:t>
            </w:r>
          </w:p>
        </w:tc>
      </w:tr>
      <w:tr>
        <w:tc>
          <w:tcPr>
            <w:tcW w:type="dxa" w:w="2340"/>
          </w:tcPr>
          <w:p>
            <w:r>
              <w:t>AI 归一化向量</w:t>
            </w:r>
          </w:p>
        </w:tc>
        <w:tc>
          <w:tcPr>
            <w:tcW w:type="dxa" w:w="2340"/>
          </w:tcPr>
          <w:p>
            <w:r>
              <w:t>a_x</w:t>
            </w:r>
          </w:p>
        </w:tc>
        <w:tc>
          <w:tcPr>
            <w:tcW w:type="dxa" w:w="2340"/>
          </w:tcPr>
          <w:p>
            <w:r>
              <w:t>非负，∑=1</w:t>
            </w:r>
          </w:p>
        </w:tc>
        <w:tc>
          <w:tcPr>
            <w:tcW w:type="dxa" w:w="2340"/>
          </w:tcPr>
          <w:p>
            <w:r>
              <w:t>L1 归一化后的 AI 影响结构</w:t>
            </w:r>
          </w:p>
        </w:tc>
      </w:tr>
      <w:tr>
        <w:tc>
          <w:tcPr>
            <w:tcW w:type="dxa" w:w="2340"/>
          </w:tcPr>
          <w:p>
            <w:r>
              <w:t>要素指数</w:t>
            </w:r>
          </w:p>
        </w:tc>
        <w:tc>
          <w:tcPr>
            <w:tcW w:type="dxa" w:w="2340"/>
          </w:tcPr>
          <w:p>
            <w:r>
              <w:t>I_x, Ĩ_x</w:t>
            </w:r>
          </w:p>
        </w:tc>
        <w:tc>
          <w:tcPr>
            <w:tcW w:type="dxa" w:w="2340"/>
          </w:tcPr>
          <w:p>
            <w:r>
              <w:t>ℝ；归一化后 [0,1]</w:t>
            </w:r>
          </w:p>
        </w:tc>
        <w:tc>
          <w:tcPr>
            <w:tcW w:type="dxa" w:w="2340"/>
          </w:tcPr>
          <w:p>
            <w:r>
              <w:t>点积 + 分层归一化</w:t>
            </w:r>
          </w:p>
        </w:tc>
      </w:tr>
      <w:tr>
        <w:tc>
          <w:tcPr>
            <w:tcW w:type="dxa" w:w="2340"/>
          </w:tcPr>
          <w:p>
            <w:r>
              <w:t>职业层内权重</w:t>
            </w:r>
          </w:p>
        </w:tc>
        <w:tc>
          <w:tcPr>
            <w:tcW w:type="dxa" w:w="2340"/>
          </w:tcPr>
          <w:p>
            <w:r>
              <w:t>w_{j,x}</w:t>
            </w:r>
          </w:p>
        </w:tc>
        <w:tc>
          <w:tcPr>
            <w:tcW w:type="dxa" w:w="2340"/>
          </w:tcPr>
          <w:p>
            <w:r>
              <w:t>[0,1]</w:t>
            </w:r>
          </w:p>
        </w:tc>
        <w:tc>
          <w:tcPr>
            <w:tcW w:type="dxa" w:w="2340"/>
          </w:tcPr>
          <w:p>
            <w:r>
              <w:t>由 Importance 层内归一化得到</w:t>
            </w:r>
          </w:p>
        </w:tc>
      </w:tr>
      <w:tr>
        <w:tc>
          <w:tcPr>
            <w:tcW w:type="dxa" w:w="2340"/>
          </w:tcPr>
          <w:p>
            <w:r>
              <w:t>层间权重</w:t>
            </w:r>
          </w:p>
        </w:tc>
        <w:tc>
          <w:tcPr>
            <w:tcW w:type="dxa" w:w="2340"/>
          </w:tcPr>
          <w:p>
            <w:r>
              <w:t>α_S,α_K,α_A</w:t>
            </w:r>
          </w:p>
        </w:tc>
        <w:tc>
          <w:tcPr>
            <w:tcW w:type="dxa" w:w="2340"/>
          </w:tcPr>
          <w:p>
            <w:r>
              <w:t>[0,1],和为1</w:t>
            </w:r>
          </w:p>
        </w:tc>
        <w:tc>
          <w:tcPr>
            <w:tcW w:type="dxa" w:w="2340"/>
          </w:tcPr>
          <w:p>
            <w:r>
              <w:t>三层聚合权重</w:t>
            </w:r>
          </w:p>
        </w:tc>
      </w:tr>
    </w:tbl>
    <w:p>
      <w:pPr>
        <w:pStyle w:val="Heading2"/>
      </w:pPr>
      <w:r>
        <w:t>3.3 Importance 的统一处理</w:t>
      </w:r>
    </w:p>
    <w:p>
      <w:r>
        <w:t>模型内部将 Importance 仅视为相对权重：通过层内归一化得到 w_{j,x}，从而不依赖其缩放口径。展示层可再映射。</w:t>
      </w:r>
    </w:p>
    <w:p>
      <w:pPr>
        <w:pStyle w:val="Heading1"/>
      </w:pPr>
      <w:r>
        <w:t>4. Vectorization and explaination</w:t>
      </w:r>
    </w:p>
    <w:p>
      <w:pPr>
        <w:pStyle w:val="Heading2"/>
      </w:pPr>
      <w:r>
        <w:t>4.1 为什么是 CTS 三维</w:t>
      </w:r>
    </w:p>
    <w:p>
      <w:r>
        <w:t>CTS（Cognitive/Technical/Social）在保证可解释的同时能覆盖大多数教育与工作活动差异。几何解释：每个要素都对应 CTS 空间中的一个向量（方向=结构组成）。</w:t>
      </w:r>
    </w:p>
    <w:p>
      <w:pPr>
        <w:pStyle w:val="Heading2"/>
      </w:pPr>
      <w:r>
        <w:t>4.2 要素向量：r_x → v_x</w:t>
      </w:r>
    </w:p>
    <w:p>
      <w:r>
        <w:t>区分原始评分 r_x 与归一化向量 v_x，以兼容沟通中的坐标示例并保证计算稳定。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32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式(1) 要素原始向量 r_x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7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式(2) L1 归一化得到 v_x</w:t>
      </w:r>
    </w:p>
    <w:p>
      <w:pPr>
        <w:pStyle w:val="Heading2"/>
      </w:pPr>
      <w:r>
        <w:t>4.3 Knowledge 与 Work Activities 共享维度体系</w:t>
      </w:r>
    </w:p>
    <w:p>
      <w:r>
        <w:t>为保证跨层聚合可比，Skills/Knowledge/Activities 共享 CTS 维度体系。必要时可扩展维度，但需同步更新编码 rubric。</w:t>
      </w:r>
    </w:p>
    <w:p>
      <w:pPr>
        <w:pStyle w:val="Heading1"/>
      </w:pPr>
      <w:r>
        <w:t>5. AI Index and Explaination</w:t>
      </w:r>
    </w:p>
    <w:p>
      <w:pPr>
        <w:pStyle w:val="Heading2"/>
      </w:pPr>
      <w:r>
        <w:t>5.1 AI 影响向量：q_x → a_x</w:t>
      </w:r>
    </w:p>
    <w:p>
      <w:r>
        <w:t>同样区分 AI 原始评分 q_x 与归一化向量 a_x。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32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式(3) AI 原始影响向量 q_x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7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式(4) L1 归一化得到 a_x</w:t>
      </w:r>
    </w:p>
    <w:p>
      <w:pPr>
        <w:pStyle w:val="Heading2"/>
      </w:pPr>
      <w:r>
        <w:t>5.2 合成数据（当前版本）</w:t>
      </w:r>
    </w:p>
    <w:p>
      <w:r>
        <w:t>当前评审版本的 a_x 来源于合成数据：团队规则 + 数据合成 + LLM 辅助判断。其作用是验证架构，不作为最终结论。</w:t>
      </w:r>
    </w:p>
    <w:p>
      <w:pPr>
        <w:pStyle w:val="Heading2"/>
      </w:pPr>
      <w:r>
        <w:t>5.3 真实数据替换（上报可审计）</w:t>
      </w:r>
    </w:p>
    <w:p>
      <w:r>
        <w:t>正式落地需用真实数据替换：职业人群问卷、教育侧学习数据、岗位侧工具使用与绩效数据。上报应同时输出样本量与不确定性。</w:t>
      </w:r>
    </w:p>
    <w:p>
      <w:pPr>
        <w:pStyle w:val="Heading2"/>
      </w:pPr>
      <w:r>
        <w:t>5.4 AI 类型扩展</w:t>
      </w:r>
    </w:p>
    <w:p>
      <w:r>
        <w:t>后续可按语言/视觉/音频模型族分别构造 a_x^{(m)} 并输出子指数，以提升教育侧的动作精度。</w:t>
      </w:r>
    </w:p>
    <w:p>
      <w:pPr>
        <w:pStyle w:val="Heading1"/>
      </w:pPr>
      <w:r>
        <w:t>6. Modeling（Skill index， Knowledge index， working activities index）的计算和归一化</w:t>
      </w:r>
    </w:p>
    <w:p>
      <w:pPr>
        <w:pStyle w:val="Heading2"/>
      </w:pPr>
      <w:r>
        <w:t>6.1 要素指数：点积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7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式(5) 要素指数 I_x</w:t>
      </w:r>
    </w:p>
    <w:p>
      <w:r>
        <w:t>解释：I_x 越大，表示 AI 影响结构越对齐要素结构。</w:t>
      </w:r>
    </w:p>
    <w:p>
      <w:pPr>
        <w:pStyle w:val="Heading2"/>
      </w:pPr>
      <w:r>
        <w:t>6.2 示例</w:t>
      </w:r>
    </w:p>
    <w:p>
      <w:r>
        <w:t>示例使用沟通中的向量坐标：先归一化再点积。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39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式(6) 示例计算链条</w:t>
      </w:r>
    </w:p>
    <w:p>
      <w:pPr>
        <w:pStyle w:val="Heading2"/>
      </w:pPr>
      <w:r>
        <w:t>6.3 分层归一化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41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式(7) Ĩ_x 的分层 min-max 归一化</w:t>
      </w:r>
    </w:p>
    <w:p>
      <w:pPr>
        <w:pStyle w:val="Heading2"/>
      </w:pPr>
      <w:r>
        <w:t>6.4 一级指数输出</w:t>
      </w:r>
    </w:p>
    <w:p>
      <w:r>
        <w:t>输出三类一级指数：Ĩ_s（Skills）、Ĩ_k（Knowledge）、Ĩ_a（Activities）。这是教育侧决策（课程/学生画像）的主输入。</w:t>
      </w:r>
    </w:p>
    <w:p>
      <w:pPr>
        <w:pStyle w:val="Heading1"/>
      </w:pPr>
      <w:r>
        <w:t>7. Course的拆解和如何用modeling组成course index</w:t>
      </w:r>
    </w:p>
    <w:p>
      <w:pPr>
        <w:pStyle w:val="Heading2"/>
      </w:pPr>
      <w:r>
        <w:t>7.1 课程拆解与覆盖权重</w:t>
      </w:r>
    </w:p>
    <w:p>
      <w:r>
        <w:t>课程 c 拆解为 S_c、K_c、A_c，并为每个要素定义覆盖权重 Cov_{c,x}。Cov 可来自学时/作业/学习目标 rubric 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870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8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式(8) 课程层权重 p_{c,x}</w:t>
      </w:r>
    </w:p>
    <w:p>
      <w:pPr>
        <w:pStyle w:val="Heading2"/>
      </w:pPr>
      <w:r>
        <w:t>7.2 课程指数 C_c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398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式(9) 课程指数 C_c</w:t>
      </w:r>
    </w:p>
    <w:p>
      <w:pPr>
        <w:pStyle w:val="Heading2"/>
      </w:pPr>
      <w:r>
        <w:t>7.3 教育侧落地与阈值解释</w:t>
      </w:r>
    </w:p>
    <w:p>
      <w:r>
        <w:t>课程指数用于判断课程是否必须内生化 AI。你们在沟通中提出示例阈值：10%（无需系统性融入）与 90%（必须内生化）。正式落地需用数据校准阈值，但分段解释机制是教育管理的可行动接口。</w:t>
      </w:r>
    </w:p>
    <w:p>
      <w:r>
        <w:t>更细粒度动作来自课程内 Ĩ_x 分布：到底是哪些技能/知识/活动高渗透，从而决定引入哪类 AI 工具与如何调整评价体系。</w:t>
      </w:r>
    </w:p>
    <w:p>
      <w:pPr>
        <w:pStyle w:val="Heading1"/>
      </w:pPr>
      <w:r>
        <w:t>8. Job的拆解和如何用modeling组成job index</w:t>
      </w:r>
    </w:p>
    <w:p>
      <w:pPr>
        <w:pStyle w:val="Heading2"/>
      </w:pPr>
      <w:r>
        <w:t>8.1 层内权重 w_{j,x}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418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式(10) 层内权重 w_{j,x}</w:t>
      </w:r>
    </w:p>
    <w:p>
      <w:pPr>
        <w:pStyle w:val="Heading2"/>
      </w:pPr>
      <w:r>
        <w:t>8.2 三层得分 J_j^S/J_j^K/J_j^A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669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式(11) 职业三层得分</w:t>
      </w:r>
    </w:p>
    <w:p>
      <w:pPr>
        <w:pStyle w:val="Heading2"/>
      </w:pPr>
      <w:r>
        <w:t>8.3 Job Index J_j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5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式(12) Job Index</w:t>
      </w:r>
    </w:p>
    <w:p>
      <w:pPr>
        <w:pStyle w:val="Heading2"/>
      </w:pPr>
      <w:r>
        <w:t>8.4 教育侧使用方式</w:t>
      </w:r>
    </w:p>
    <w:p>
      <w:r>
        <w:t>Job Index 作为参照系帮助理解职业总体风险，但教育侧的可执行建议必须回到一级指数 Ĩ_s/Ĩ_k/Ĩ_a 并映射到课程与训练模块。</w:t>
      </w:r>
    </w:p>
    <w:p>
      <w:r>
        <w:br w:type="page"/>
      </w:r>
    </w:p>
    <w:p>
      <w:pPr>
        <w:pStyle w:val="Heading1"/>
      </w:pPr>
      <w:r>
        <w:t>附录：当前不展开但已明确的迭代方向（仅列出）</w:t>
      </w:r>
    </w:p>
    <w:p>
      <w:r>
        <w:t>为避免评审阶段过早引入产品化与治理细节，你们明确当前不要求展开：用户反馈闭环机制、安全与隐私保护等。模型架构预留的迭代接口包括：a_x 由合成→真实、AI 从单一→多模型族、维度从 3 → 更高维、以及用真实课程与岗位数据做外部验证。</w:t>
      </w:r>
    </w:p>
    <w:p>
      <w:pPr>
        <w:pStyle w:val="Heading1"/>
      </w:pPr>
      <w:r>
        <w:t>参考资料（建议上报版）</w:t>
      </w:r>
    </w:p>
    <w:p>
      <w:r>
        <w:t>1) O*NET Resource Center：O*NET Database / Data Dictionary。</w:t>
        <w:br/>
        <w:t>2) O*NET Web Services / O*NET OnLine：接口与展示口径。</w:t>
        <w:br/>
        <w:t>3) U.S. Department of Labor / Employment and Training Administration：项目背景与官方口径。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