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6FA" w:rsidRDefault="00B77AA4">
      <w:pPr>
        <w:spacing w:after="40"/>
      </w:pPr>
      <w:r>
        <w:rPr>
          <w:i/>
          <w:iCs/>
          <w:color w:val="595959"/>
        </w:rPr>
        <w:t>Proposal</w:t>
      </w:r>
    </w:p>
    <w:p w:rsidR="008016FA" w:rsidRDefault="00B77AA4">
      <w:pPr>
        <w:spacing w:before="120" w:after="40"/>
      </w:pPr>
      <w:r>
        <w:rPr>
          <w:b/>
          <w:bCs/>
          <w:color w:val="1F4E5F"/>
          <w:sz w:val="36"/>
          <w:szCs w:val="36"/>
        </w:rPr>
        <w:t>AI-Powered RFQ Intelligence Platform</w:t>
      </w:r>
    </w:p>
    <w:p w:rsidR="008016FA" w:rsidRDefault="00B77AA4">
      <w:pPr>
        <w:spacing w:after="300"/>
      </w:pPr>
      <w:r>
        <w:rPr>
          <w:i/>
          <w:iCs/>
          <w:color w:val="595959"/>
          <w:sz w:val="22"/>
          <w:szCs w:val="22"/>
        </w:rPr>
        <w:t>Pilot and Subscription Services — Prepared for Advanced Automation Group (AAG)</w:t>
      </w:r>
    </w:p>
    <w:p w:rsidR="008016FA" w:rsidRDefault="00B77AA4">
      <w:pPr>
        <w:pStyle w:val="Heading1"/>
        <w:pBdr>
          <w:bottom w:val="single" w:sz="6" w:space="4" w:color="1F4E5F"/>
        </w:pBdr>
        <w:spacing w:before="360" w:after="160"/>
      </w:pPr>
      <w:r>
        <w:rPr>
          <w:b/>
          <w:bCs/>
          <w:color w:val="1F4E5F"/>
          <w:sz w:val="27"/>
          <w:szCs w:val="27"/>
        </w:rPr>
        <w:t>Executive Summary</w:t>
      </w:r>
    </w:p>
    <w:p w:rsidR="008016FA" w:rsidRDefault="00B77AA4">
      <w:pPr>
        <w:spacing w:after="160"/>
      </w:pPr>
      <w:r>
        <w:rPr>
          <w:color w:val="222222"/>
          <w:sz w:val="21"/>
          <w:szCs w:val="21"/>
        </w:rPr>
        <w:t>The objective of this Pilot is to evaluate how Artificial Intelligence can improve AAG's RFQ review and quotation process by building a searchable knowledge base from historical RFQs and measuring the accuracy of AI-assisted document understanding across engineering, procurement, and sales workflows.</w:t>
      </w:r>
    </w:p>
    <w:p w:rsidR="008016FA" w:rsidRDefault="00B77AA4">
      <w:pPr>
        <w:spacing w:after="160"/>
      </w:pPr>
      <w:r>
        <w:rPr>
          <w:color w:val="222222"/>
          <w:sz w:val="21"/>
          <w:szCs w:val="21"/>
        </w:rPr>
        <w:t>Unlike traditional document management systems, the proposed solution focuses on understanding the engineering, manufacturing, quality, sourcing, and commercial information contained within AAG's RFQ packages — enabling future workflow automation and AI-assisted decision making rather than simple file storage and search.</w:t>
      </w:r>
    </w:p>
    <w:p w:rsidR="008016FA" w:rsidRDefault="00B77AA4">
      <w:pPr>
        <w:spacing w:after="160"/>
      </w:pPr>
      <w:r>
        <w:rPr>
          <w:color w:val="222222"/>
          <w:sz w:val="21"/>
          <w:szCs w:val="21"/>
        </w:rPr>
        <w:t>The Pilot is designed to answer four key questions:</w:t>
      </w:r>
    </w:p>
    <w:p w:rsidR="008016FA" w:rsidRDefault="00B77AA4">
      <w:pPr>
        <w:pStyle w:val="ListParagraph"/>
        <w:numPr>
          <w:ilvl w:val="0"/>
          <w:numId w:val="2"/>
        </w:numPr>
        <w:spacing w:after="80"/>
      </w:pPr>
      <w:r>
        <w:rPr>
          <w:color w:val="222222"/>
          <w:sz w:val="21"/>
          <w:szCs w:val="21"/>
        </w:rPr>
        <w:t>Can AI accurately understand and structure AAG's incoming RFQ packages?</w:t>
      </w:r>
    </w:p>
    <w:p w:rsidR="008016FA" w:rsidRDefault="00B77AA4">
      <w:pPr>
        <w:pStyle w:val="ListParagraph"/>
        <w:numPr>
          <w:ilvl w:val="0"/>
          <w:numId w:val="2"/>
        </w:numPr>
        <w:spacing w:after="80"/>
      </w:pPr>
      <w:r>
        <w:rPr>
          <w:color w:val="222222"/>
          <w:sz w:val="21"/>
          <w:szCs w:val="21"/>
        </w:rPr>
        <w:t>Can AI identify missing or inconsistent information before quotation begins?</w:t>
      </w:r>
    </w:p>
    <w:p w:rsidR="008016FA" w:rsidRDefault="00B77AA4">
      <w:pPr>
        <w:pStyle w:val="ListParagraph"/>
        <w:numPr>
          <w:ilvl w:val="0"/>
          <w:numId w:val="2"/>
        </w:numPr>
        <w:spacing w:after="80"/>
      </w:pPr>
      <w:r>
        <w:rPr>
          <w:color w:val="222222"/>
          <w:sz w:val="21"/>
          <w:szCs w:val="21"/>
        </w:rPr>
        <w:t>Can AI retrieve relevant historical RFQs, BOMs, and quotations to improve quotation quality and reduce engineering effort?</w:t>
      </w:r>
    </w:p>
    <w:p w:rsidR="008016FA" w:rsidRDefault="00B77AA4">
      <w:pPr>
        <w:pStyle w:val="ListParagraph"/>
        <w:numPr>
          <w:ilvl w:val="0"/>
          <w:numId w:val="2"/>
        </w:numPr>
        <w:spacing w:after="80"/>
      </w:pPr>
      <w:r>
        <w:rPr>
          <w:color w:val="222222"/>
          <w:sz w:val="21"/>
          <w:szCs w:val="21"/>
        </w:rPr>
        <w:t>Can AI accelerate sourcing by recommending qualified suppliers, reusable parts, and historical pricing?</w:t>
      </w:r>
    </w:p>
    <w:p w:rsidR="008016FA" w:rsidRDefault="00B77AA4">
      <w:pPr>
        <w:spacing w:after="240"/>
      </w:pPr>
      <w:r>
        <w:rPr>
          <w:color w:val="222222"/>
          <w:sz w:val="21"/>
          <w:szCs w:val="21"/>
        </w:rPr>
        <w:t>Upon successful completion of the Pilot, the platform can be expanded through a subscription model that includes continuous knowledge base learning, an AI Sourcing Assistant, and ongoing platform improvement.</w:t>
      </w:r>
    </w:p>
    <w:p w:rsidR="008016FA" w:rsidRDefault="00B77AA4">
      <w:pPr>
        <w:pStyle w:val="Heading1"/>
        <w:pBdr>
          <w:bottom w:val="single" w:sz="6" w:space="4" w:color="1F4E5F"/>
        </w:pBdr>
        <w:spacing w:before="360" w:after="160"/>
      </w:pPr>
      <w:r>
        <w:rPr>
          <w:b/>
          <w:bCs/>
          <w:color w:val="1F4E5F"/>
          <w:sz w:val="27"/>
          <w:szCs w:val="27"/>
        </w:rPr>
        <w:t>Current Challenges</w:t>
      </w:r>
    </w:p>
    <w:p w:rsidR="008016FA" w:rsidRDefault="00B77AA4">
      <w:pPr>
        <w:pStyle w:val="ListParagraph"/>
        <w:numPr>
          <w:ilvl w:val="0"/>
          <w:numId w:val="2"/>
        </w:numPr>
        <w:spacing w:after="80"/>
      </w:pPr>
      <w:r>
        <w:rPr>
          <w:color w:val="222222"/>
          <w:sz w:val="21"/>
          <w:szCs w:val="21"/>
        </w:rPr>
        <w:t>Manual review of RFQ documents and customer specifications, averaging roughly two weeks per RFQ across approximately 200 RFQs per year.</w:t>
      </w:r>
    </w:p>
    <w:p w:rsidR="008016FA" w:rsidRDefault="00B77AA4">
      <w:pPr>
        <w:pStyle w:val="ListParagraph"/>
        <w:numPr>
          <w:ilvl w:val="0"/>
          <w:numId w:val="2"/>
        </w:numPr>
        <w:spacing w:after="80"/>
      </w:pPr>
      <w:r>
        <w:rPr>
          <w:color w:val="222222"/>
          <w:sz w:val="21"/>
          <w:szCs w:val="21"/>
        </w:rPr>
        <w:t>Engineering time spent searching historical RFQs, BOMs, drawings, and quotations that already contain the answer.</w:t>
      </w:r>
    </w:p>
    <w:p w:rsidR="008016FA" w:rsidRDefault="00B77AA4">
      <w:pPr>
        <w:pStyle w:val="ListParagraph"/>
        <w:numPr>
          <w:ilvl w:val="0"/>
          <w:numId w:val="2"/>
        </w:numPr>
        <w:spacing w:after="80"/>
      </w:pPr>
      <w:r>
        <w:rPr>
          <w:color w:val="222222"/>
          <w:sz w:val="21"/>
          <w:szCs w:val="21"/>
        </w:rPr>
        <w:t>Limited visibility into historical part pricing and supplier information at the time quotes are being prepared.</w:t>
      </w:r>
    </w:p>
    <w:p w:rsidR="008016FA" w:rsidRDefault="00B77AA4">
      <w:pPr>
        <w:pStyle w:val="ListParagraph"/>
        <w:numPr>
          <w:ilvl w:val="0"/>
          <w:numId w:val="2"/>
        </w:numPr>
        <w:spacing w:after="80"/>
      </w:pPr>
      <w:r>
        <w:rPr>
          <w:color w:val="222222"/>
          <w:sz w:val="21"/>
          <w:szCs w:val="21"/>
        </w:rPr>
        <w:t>Repetitive sourcing activities and supplier comparisons performed manually for each new RFQ.</w:t>
      </w:r>
    </w:p>
    <w:p w:rsidR="008016FA" w:rsidRDefault="00B77AA4">
      <w:pPr>
        <w:pStyle w:val="ListParagraph"/>
        <w:numPr>
          <w:ilvl w:val="0"/>
          <w:numId w:val="2"/>
        </w:numPr>
        <w:spacing w:after="80"/>
      </w:pPr>
      <w:r>
        <w:rPr>
          <w:color w:val="222222"/>
          <w:sz w:val="21"/>
          <w:szCs w:val="21"/>
        </w:rPr>
        <w:t>Knowledge dispersed across documents, shared drives, and individual employees, with no centralized, AI-searchable source of truth.</w:t>
      </w:r>
    </w:p>
    <w:p w:rsidR="008016FA" w:rsidRDefault="00B77AA4">
      <w:pPr>
        <w:pStyle w:val="Heading1"/>
        <w:pBdr>
          <w:bottom w:val="single" w:sz="6" w:space="4" w:color="1F4E5F"/>
        </w:pBdr>
        <w:spacing w:before="360" w:after="160"/>
      </w:pPr>
      <w:r>
        <w:rPr>
          <w:b/>
          <w:bCs/>
          <w:color w:val="1F4E5F"/>
          <w:sz w:val="27"/>
          <w:szCs w:val="27"/>
        </w:rPr>
        <w:t>Phase 1 – AI Readiness Assessment (Pilot)</w:t>
      </w:r>
    </w:p>
    <w:p w:rsidR="008016FA" w:rsidRDefault="00B77AA4">
      <w:pPr>
        <w:spacing w:after="200"/>
      </w:pPr>
      <w:r>
        <w:rPr>
          <w:b/>
          <w:bCs/>
          <w:color w:val="1F4E5F"/>
          <w:sz w:val="22"/>
          <w:szCs w:val="22"/>
        </w:rPr>
        <w:t>Duration: 8</w:t>
      </w:r>
    </w:p>
    <w:p w:rsidR="008016FA" w:rsidRDefault="00B77AA4">
      <w:pPr>
        <w:pStyle w:val="Heading2"/>
        <w:spacing w:before="260" w:after="120"/>
      </w:pPr>
      <w:r>
        <w:rPr>
          <w:b/>
          <w:bCs/>
          <w:color w:val="1F4E5F"/>
          <w:sz w:val="23"/>
          <w:szCs w:val="23"/>
        </w:rPr>
        <w:t>Scope</w:t>
      </w:r>
    </w:p>
    <w:p w:rsidR="008016FA" w:rsidRDefault="00B77AA4">
      <w:pPr>
        <w:pStyle w:val="Heading3"/>
        <w:spacing w:before="180" w:after="100"/>
      </w:pPr>
      <w:r>
        <w:rPr>
          <w:b/>
          <w:bCs/>
          <w:i/>
          <w:iCs/>
          <w:color w:val="333333"/>
          <w:sz w:val="21"/>
          <w:szCs w:val="21"/>
        </w:rPr>
        <w:t>Historical Knowledge Base</w:t>
      </w:r>
    </w:p>
    <w:p w:rsidR="008016FA" w:rsidRDefault="00B77AA4">
      <w:pPr>
        <w:pStyle w:val="ListParagraph"/>
        <w:numPr>
          <w:ilvl w:val="0"/>
          <w:numId w:val="2"/>
        </w:numPr>
        <w:spacing w:after="80"/>
      </w:pPr>
      <w:r>
        <w:rPr>
          <w:color w:val="222222"/>
          <w:sz w:val="21"/>
          <w:szCs w:val="21"/>
        </w:rPr>
        <w:t xml:space="preserve">Import approximately two years of historical RFQs, capped at a total of </w:t>
      </w:r>
      <w:r w:rsidR="002403A0">
        <w:rPr>
          <w:color w:val="222222"/>
          <w:sz w:val="21"/>
          <w:szCs w:val="21"/>
        </w:rPr>
        <w:t>10</w:t>
      </w:r>
      <w:bookmarkStart w:id="0" w:name="_GoBack"/>
      <w:bookmarkEnd w:id="0"/>
      <w:r>
        <w:rPr>
          <w:color w:val="222222"/>
          <w:sz w:val="21"/>
          <w:szCs w:val="21"/>
        </w:rPr>
        <w:t>0 RFQs, prioritizing those most similar in program type, part complexity, and customer to ensure a high-quality reference set.</w:t>
      </w:r>
    </w:p>
    <w:p w:rsidR="008016FA" w:rsidRDefault="00B77AA4">
      <w:pPr>
        <w:pStyle w:val="ListParagraph"/>
        <w:numPr>
          <w:ilvl w:val="0"/>
          <w:numId w:val="2"/>
        </w:numPr>
        <w:spacing w:after="80"/>
      </w:pPr>
      <w:r>
        <w:rPr>
          <w:color w:val="222222"/>
          <w:sz w:val="21"/>
          <w:szCs w:val="21"/>
        </w:rPr>
        <w:lastRenderedPageBreak/>
        <w:t>Process all RFQ attachments (PDF, Excel, Word, images, CAD references where applicable), including BOMs, engineering drawings, product specifications, and quotations.</w:t>
      </w:r>
    </w:p>
    <w:p w:rsidR="008016FA" w:rsidRDefault="00B77AA4">
      <w:pPr>
        <w:pStyle w:val="ListParagraph"/>
        <w:numPr>
          <w:ilvl w:val="0"/>
          <w:numId w:val="2"/>
        </w:numPr>
        <w:spacing w:after="80"/>
      </w:pPr>
      <w:r>
        <w:rPr>
          <w:color w:val="222222"/>
          <w:sz w:val="21"/>
          <w:szCs w:val="21"/>
        </w:rPr>
        <w:t>OCR and document classification.</w:t>
      </w:r>
    </w:p>
    <w:p w:rsidR="008016FA" w:rsidRDefault="00B77AA4">
      <w:pPr>
        <w:pStyle w:val="ListParagraph"/>
        <w:numPr>
          <w:ilvl w:val="0"/>
          <w:numId w:val="2"/>
        </w:numPr>
        <w:spacing w:after="80"/>
      </w:pPr>
      <w:r>
        <w:rPr>
          <w:color w:val="222222"/>
          <w:sz w:val="21"/>
          <w:szCs w:val="21"/>
        </w:rPr>
        <w:t>Metadata extraction and vector knowledge base creation.</w:t>
      </w:r>
    </w:p>
    <w:p w:rsidR="008016FA" w:rsidRDefault="00B77AA4">
      <w:pPr>
        <w:pStyle w:val="ListParagraph"/>
        <w:numPr>
          <w:ilvl w:val="0"/>
          <w:numId w:val="2"/>
        </w:numPr>
        <w:spacing w:after="80"/>
      </w:pPr>
      <w:r>
        <w:rPr>
          <w:color w:val="222222"/>
          <w:sz w:val="21"/>
          <w:szCs w:val="21"/>
        </w:rPr>
        <w:t>Search and retrieval capability.</w:t>
      </w:r>
    </w:p>
    <w:p w:rsidR="008016FA" w:rsidRDefault="00B77AA4">
      <w:pPr>
        <w:pStyle w:val="Heading3"/>
        <w:spacing w:before="180" w:after="100"/>
      </w:pPr>
      <w:r>
        <w:rPr>
          <w:b/>
          <w:bCs/>
          <w:i/>
          <w:iCs/>
          <w:color w:val="333333"/>
          <w:sz w:val="21"/>
          <w:szCs w:val="21"/>
        </w:rPr>
        <w:t>AI Document Understanding</w:t>
      </w:r>
    </w:p>
    <w:p w:rsidR="008016FA" w:rsidRDefault="00B77AA4">
      <w:pPr>
        <w:spacing w:after="100"/>
      </w:pPr>
      <w:r>
        <w:rPr>
          <w:color w:val="222222"/>
          <w:sz w:val="21"/>
          <w:szCs w:val="21"/>
        </w:rPr>
        <w:t>The AI will automatically identify and extract:</w:t>
      </w:r>
    </w:p>
    <w:p w:rsidR="008016FA" w:rsidRDefault="00B77AA4">
      <w:pPr>
        <w:pStyle w:val="ListParagraph"/>
        <w:numPr>
          <w:ilvl w:val="0"/>
          <w:numId w:val="2"/>
        </w:numPr>
        <w:spacing w:after="80"/>
      </w:pPr>
      <w:r>
        <w:rPr>
          <w:color w:val="222222"/>
          <w:sz w:val="21"/>
          <w:szCs w:val="21"/>
        </w:rPr>
        <w:t>Customer information</w:t>
      </w:r>
    </w:p>
    <w:p w:rsidR="008016FA" w:rsidRDefault="00B77AA4">
      <w:pPr>
        <w:pStyle w:val="ListParagraph"/>
        <w:numPr>
          <w:ilvl w:val="0"/>
          <w:numId w:val="2"/>
        </w:numPr>
        <w:spacing w:after="80"/>
      </w:pPr>
      <w:r>
        <w:rPr>
          <w:color w:val="222222"/>
          <w:sz w:val="21"/>
          <w:szCs w:val="21"/>
        </w:rPr>
        <w:t>Program details, including scope, application, and program lifetime</w:t>
      </w:r>
    </w:p>
    <w:p w:rsidR="008016FA" w:rsidRDefault="00B77AA4">
      <w:pPr>
        <w:pStyle w:val="ListParagraph"/>
        <w:numPr>
          <w:ilvl w:val="0"/>
          <w:numId w:val="2"/>
        </w:numPr>
        <w:spacing w:after="80"/>
      </w:pPr>
      <w:r>
        <w:rPr>
          <w:color w:val="222222"/>
          <w:sz w:val="21"/>
          <w:szCs w:val="21"/>
        </w:rPr>
        <w:t>Volume requirements and production capacity requirements</w:t>
      </w:r>
    </w:p>
    <w:p w:rsidR="008016FA" w:rsidRDefault="00B77AA4">
      <w:pPr>
        <w:pStyle w:val="ListParagraph"/>
        <w:numPr>
          <w:ilvl w:val="0"/>
          <w:numId w:val="2"/>
        </w:numPr>
        <w:spacing w:after="80"/>
      </w:pPr>
      <w:r>
        <w:rPr>
          <w:color w:val="222222"/>
          <w:sz w:val="21"/>
          <w:szCs w:val="21"/>
        </w:rPr>
        <w:t>Key program dates, including RFQ due date, sample/prototype milestones, tooling readiness, and start/end of production where applicable</w:t>
      </w:r>
    </w:p>
    <w:p w:rsidR="008016FA" w:rsidRDefault="00B77AA4">
      <w:pPr>
        <w:pStyle w:val="ListParagraph"/>
        <w:numPr>
          <w:ilvl w:val="0"/>
          <w:numId w:val="2"/>
        </w:numPr>
        <w:spacing w:after="80"/>
      </w:pPr>
      <w:r>
        <w:rPr>
          <w:color w:val="222222"/>
          <w:sz w:val="21"/>
          <w:szCs w:val="21"/>
        </w:rPr>
        <w:t>Functional, testing, and validation requirements</w:t>
      </w:r>
    </w:p>
    <w:p w:rsidR="008016FA" w:rsidRDefault="00B77AA4">
      <w:pPr>
        <w:pStyle w:val="ListParagraph"/>
        <w:numPr>
          <w:ilvl w:val="0"/>
          <w:numId w:val="2"/>
        </w:numPr>
        <w:spacing w:after="80"/>
      </w:pPr>
      <w:r>
        <w:rPr>
          <w:color w:val="222222"/>
          <w:sz w:val="21"/>
          <w:szCs w:val="21"/>
        </w:rPr>
        <w:t>Applicable quality and regulatory requirements (e.g., IATF 16949, ISO 9001, industry- and region-specific certifications)</w:t>
      </w:r>
    </w:p>
    <w:p w:rsidR="008016FA" w:rsidRDefault="00B77AA4">
      <w:pPr>
        <w:pStyle w:val="ListParagraph"/>
        <w:numPr>
          <w:ilvl w:val="0"/>
          <w:numId w:val="2"/>
        </w:numPr>
        <w:spacing w:after="80"/>
      </w:pPr>
      <w:r>
        <w:rPr>
          <w:color w:val="222222"/>
          <w:sz w:val="21"/>
          <w:szCs w:val="21"/>
        </w:rPr>
        <w:t>Part numbers, materials, drawings, and specifications</w:t>
      </w:r>
    </w:p>
    <w:p w:rsidR="008016FA" w:rsidRDefault="00B77AA4">
      <w:pPr>
        <w:pStyle w:val="ListParagraph"/>
        <w:numPr>
          <w:ilvl w:val="0"/>
          <w:numId w:val="2"/>
        </w:numPr>
        <w:spacing w:after="80"/>
      </w:pPr>
      <w:r>
        <w:rPr>
          <w:color w:val="222222"/>
          <w:sz w:val="21"/>
          <w:szCs w:val="21"/>
        </w:rPr>
        <w:t>Commercial terms, packaging requirements, and manufacturing requirements</w:t>
      </w:r>
    </w:p>
    <w:p w:rsidR="008016FA" w:rsidRDefault="00B77AA4">
      <w:pPr>
        <w:pStyle w:val="Heading3"/>
        <w:spacing w:before="180" w:after="100"/>
      </w:pPr>
      <w:r>
        <w:rPr>
          <w:b/>
          <w:bCs/>
          <w:i/>
          <w:iCs/>
          <w:color w:val="333333"/>
          <w:sz w:val="21"/>
          <w:szCs w:val="21"/>
        </w:rPr>
        <w:t>Gap Identification</w:t>
      </w:r>
    </w:p>
    <w:p w:rsidR="008016FA" w:rsidRDefault="00B77AA4">
      <w:pPr>
        <w:spacing w:after="100"/>
      </w:pPr>
      <w:r>
        <w:rPr>
          <w:color w:val="222222"/>
          <w:sz w:val="21"/>
          <w:szCs w:val="21"/>
        </w:rPr>
        <w:t>The AI will detect:</w:t>
      </w:r>
    </w:p>
    <w:p w:rsidR="008016FA" w:rsidRDefault="00B77AA4">
      <w:pPr>
        <w:pStyle w:val="ListParagraph"/>
        <w:numPr>
          <w:ilvl w:val="0"/>
          <w:numId w:val="2"/>
        </w:numPr>
        <w:spacing w:after="80"/>
      </w:pPr>
      <w:r>
        <w:rPr>
          <w:color w:val="222222"/>
          <w:sz w:val="21"/>
          <w:szCs w:val="21"/>
        </w:rPr>
        <w:t>Missing customer documents or specifications</w:t>
      </w:r>
    </w:p>
    <w:p w:rsidR="008016FA" w:rsidRDefault="00B77AA4">
      <w:pPr>
        <w:pStyle w:val="ListParagraph"/>
        <w:numPr>
          <w:ilvl w:val="0"/>
          <w:numId w:val="2"/>
        </w:numPr>
        <w:spacing w:after="80"/>
      </w:pPr>
      <w:r>
        <w:rPr>
          <w:color w:val="222222"/>
          <w:sz w:val="21"/>
          <w:szCs w:val="21"/>
        </w:rPr>
        <w:t>Conflicting or inconsistent requirements</w:t>
      </w:r>
    </w:p>
    <w:p w:rsidR="008016FA" w:rsidRDefault="00B77AA4">
      <w:pPr>
        <w:pStyle w:val="ListParagraph"/>
        <w:numPr>
          <w:ilvl w:val="0"/>
          <w:numId w:val="2"/>
        </w:numPr>
        <w:spacing w:after="80"/>
      </w:pPr>
      <w:r>
        <w:rPr>
          <w:color w:val="222222"/>
          <w:sz w:val="21"/>
          <w:szCs w:val="21"/>
        </w:rPr>
        <w:t>Missing quality or manufacturing documentation</w:t>
      </w:r>
    </w:p>
    <w:p w:rsidR="008016FA" w:rsidRDefault="00B77AA4">
      <w:pPr>
        <w:pStyle w:val="ListParagraph"/>
        <w:numPr>
          <w:ilvl w:val="0"/>
          <w:numId w:val="2"/>
        </w:numPr>
        <w:spacing w:after="80"/>
      </w:pPr>
      <w:r>
        <w:rPr>
          <w:color w:val="222222"/>
          <w:sz w:val="21"/>
          <w:szCs w:val="21"/>
        </w:rPr>
        <w:t>Missing commercial information</w:t>
      </w:r>
    </w:p>
    <w:p w:rsidR="008016FA" w:rsidRDefault="00B77AA4">
      <w:pPr>
        <w:pStyle w:val="ListParagraph"/>
        <w:numPr>
          <w:ilvl w:val="0"/>
          <w:numId w:val="2"/>
        </w:numPr>
        <w:spacing w:after="80"/>
      </w:pPr>
      <w:r>
        <w:rPr>
          <w:color w:val="222222"/>
          <w:sz w:val="21"/>
          <w:szCs w:val="21"/>
        </w:rPr>
        <w:t>Missing or inconsistent program dates and milestones</w:t>
      </w:r>
    </w:p>
    <w:p w:rsidR="008016FA" w:rsidRDefault="00B77AA4">
      <w:pPr>
        <w:pStyle w:val="ListParagraph"/>
        <w:numPr>
          <w:ilvl w:val="0"/>
          <w:numId w:val="2"/>
        </w:numPr>
        <w:spacing w:after="80"/>
      </w:pPr>
      <w:r>
        <w:rPr>
          <w:color w:val="222222"/>
          <w:sz w:val="21"/>
          <w:szCs w:val="21"/>
        </w:rPr>
        <w:t>Missing testing, validation, or regulatory certification requirements</w:t>
      </w:r>
    </w:p>
    <w:p w:rsidR="008016FA" w:rsidRDefault="00B77AA4">
      <w:pPr>
        <w:pStyle w:val="Heading3"/>
        <w:spacing w:before="180" w:after="100"/>
      </w:pPr>
      <w:r>
        <w:rPr>
          <w:b/>
          <w:bCs/>
          <w:i/>
          <w:iCs/>
          <w:color w:val="333333"/>
          <w:sz w:val="21"/>
          <w:szCs w:val="21"/>
        </w:rPr>
        <w:t>Similar RFQ Retrieval and Reuse</w:t>
      </w:r>
    </w:p>
    <w:p w:rsidR="008016FA" w:rsidRDefault="00B77AA4">
      <w:pPr>
        <w:spacing w:after="100"/>
      </w:pPr>
      <w:r>
        <w:rPr>
          <w:color w:val="222222"/>
          <w:sz w:val="21"/>
          <w:szCs w:val="21"/>
        </w:rPr>
        <w:t>For each new RFQ, the AI will:</w:t>
      </w:r>
    </w:p>
    <w:p w:rsidR="008016FA" w:rsidRDefault="00B77AA4">
      <w:pPr>
        <w:pStyle w:val="ListParagraph"/>
        <w:numPr>
          <w:ilvl w:val="0"/>
          <w:numId w:val="2"/>
        </w:numPr>
        <w:spacing w:after="80"/>
      </w:pPr>
      <w:r>
        <w:rPr>
          <w:color w:val="222222"/>
          <w:sz w:val="21"/>
          <w:szCs w:val="21"/>
        </w:rPr>
        <w:t>Search historical RFQs and identify similar quotations</w:t>
      </w:r>
    </w:p>
    <w:p w:rsidR="008016FA" w:rsidRDefault="00B77AA4">
      <w:pPr>
        <w:pStyle w:val="ListParagraph"/>
        <w:numPr>
          <w:ilvl w:val="0"/>
          <w:numId w:val="2"/>
        </w:numPr>
        <w:spacing w:after="80"/>
      </w:pPr>
      <w:r>
        <w:rPr>
          <w:color w:val="222222"/>
          <w:sz w:val="21"/>
          <w:szCs w:val="21"/>
        </w:rPr>
        <w:t>Recommend reusable engineering knowledge and prior designs</w:t>
      </w:r>
    </w:p>
    <w:p w:rsidR="008016FA" w:rsidRDefault="00B77AA4">
      <w:pPr>
        <w:pStyle w:val="ListParagraph"/>
        <w:numPr>
          <w:ilvl w:val="0"/>
          <w:numId w:val="2"/>
        </w:numPr>
        <w:spacing w:after="80"/>
      </w:pPr>
      <w:r>
        <w:rPr>
          <w:color w:val="222222"/>
          <w:sz w:val="21"/>
          <w:szCs w:val="21"/>
        </w:rPr>
        <w:t>Recommend reusable costing and historical pricing information</w:t>
      </w:r>
    </w:p>
    <w:p w:rsidR="008016FA" w:rsidRDefault="00B77AA4">
      <w:pPr>
        <w:pStyle w:val="Heading3"/>
        <w:spacing w:before="180" w:after="100"/>
      </w:pPr>
      <w:r>
        <w:rPr>
          <w:b/>
          <w:bCs/>
          <w:i/>
          <w:iCs/>
          <w:color w:val="333333"/>
          <w:sz w:val="21"/>
          <w:szCs w:val="21"/>
        </w:rPr>
        <w:t>BOM Intelligence Agent</w:t>
      </w:r>
    </w:p>
    <w:p w:rsidR="008016FA" w:rsidRDefault="00B77AA4">
      <w:pPr>
        <w:pStyle w:val="ListParagraph"/>
        <w:numPr>
          <w:ilvl w:val="0"/>
          <w:numId w:val="2"/>
        </w:numPr>
        <w:spacing w:after="80"/>
      </w:pPr>
      <w:r>
        <w:rPr>
          <w:color w:val="222222"/>
          <w:sz w:val="21"/>
          <w:szCs w:val="21"/>
        </w:rPr>
        <w:t>Parse and structure Bills of Materials (BOMs) contained in incoming RFQ packages.</w:t>
      </w:r>
    </w:p>
    <w:p w:rsidR="008016FA" w:rsidRDefault="00B77AA4">
      <w:pPr>
        <w:pStyle w:val="ListParagraph"/>
        <w:numPr>
          <w:ilvl w:val="0"/>
          <w:numId w:val="2"/>
        </w:numPr>
        <w:spacing w:after="80"/>
      </w:pPr>
      <w:r>
        <w:rPr>
          <w:color w:val="222222"/>
          <w:sz w:val="21"/>
          <w:szCs w:val="21"/>
        </w:rPr>
        <w:t>Match BOM line items to canonical parts and prior RFQs/designs in the knowledge base.</w:t>
      </w:r>
    </w:p>
    <w:p w:rsidR="008016FA" w:rsidRDefault="00B77AA4">
      <w:pPr>
        <w:pStyle w:val="ListParagraph"/>
        <w:numPr>
          <w:ilvl w:val="0"/>
          <w:numId w:val="2"/>
        </w:numPr>
        <w:spacing w:after="80"/>
      </w:pPr>
      <w:r>
        <w:rPr>
          <w:color w:val="222222"/>
          <w:sz w:val="21"/>
          <w:szCs w:val="21"/>
        </w:rPr>
        <w:t>Flag missing, ambiguous, or inconsistent BOM entries for engineering review.</w:t>
      </w:r>
    </w:p>
    <w:p w:rsidR="008016FA" w:rsidRDefault="00B77AA4">
      <w:pPr>
        <w:pStyle w:val="Heading3"/>
        <w:spacing w:before="180" w:after="100"/>
      </w:pPr>
      <w:r>
        <w:rPr>
          <w:b/>
          <w:bCs/>
          <w:i/>
          <w:iCs/>
          <w:color w:val="333333"/>
          <w:sz w:val="21"/>
          <w:szCs w:val="21"/>
        </w:rPr>
        <w:t>Parts &amp; Supplier Intelligence</w:t>
      </w:r>
    </w:p>
    <w:p w:rsidR="008016FA" w:rsidRDefault="00B77AA4">
      <w:pPr>
        <w:spacing w:after="100"/>
      </w:pPr>
      <w:r>
        <w:rPr>
          <w:color w:val="222222"/>
          <w:sz w:val="21"/>
          <w:szCs w:val="21"/>
        </w:rPr>
        <w:t>The AI will build and maintain a structured reference layer covering:</w:t>
      </w:r>
    </w:p>
    <w:p w:rsidR="008016FA" w:rsidRDefault="00B77AA4">
      <w:pPr>
        <w:pStyle w:val="ListParagraph"/>
        <w:numPr>
          <w:ilvl w:val="0"/>
          <w:numId w:val="2"/>
        </w:numPr>
        <w:spacing w:after="80"/>
      </w:pPr>
      <w:r>
        <w:rPr>
          <w:color w:val="222222"/>
          <w:sz w:val="21"/>
          <w:szCs w:val="21"/>
        </w:rPr>
        <w:t>Part numbers, descriptions, and manufacturers</w:t>
      </w:r>
    </w:p>
    <w:p w:rsidR="008016FA" w:rsidRDefault="00B77AA4">
      <w:pPr>
        <w:pStyle w:val="ListParagraph"/>
        <w:numPr>
          <w:ilvl w:val="0"/>
          <w:numId w:val="2"/>
        </w:numPr>
        <w:spacing w:after="80"/>
      </w:pPr>
      <w:r>
        <w:rPr>
          <w:color w:val="222222"/>
          <w:sz w:val="21"/>
          <w:szCs w:val="21"/>
        </w:rPr>
        <w:t>Preferred suppliers and approved alternates</w:t>
      </w:r>
    </w:p>
    <w:p w:rsidR="008016FA" w:rsidRDefault="00B77AA4">
      <w:pPr>
        <w:pStyle w:val="ListParagraph"/>
        <w:numPr>
          <w:ilvl w:val="0"/>
          <w:numId w:val="2"/>
        </w:numPr>
        <w:spacing w:after="80"/>
      </w:pPr>
      <w:r>
        <w:rPr>
          <w:color w:val="222222"/>
          <w:sz w:val="21"/>
          <w:szCs w:val="21"/>
        </w:rPr>
        <w:t>Historical purchase pricing and historical quoted pricing</w:t>
      </w:r>
    </w:p>
    <w:p w:rsidR="008016FA" w:rsidRDefault="00B77AA4">
      <w:pPr>
        <w:pStyle w:val="ListParagraph"/>
        <w:numPr>
          <w:ilvl w:val="0"/>
          <w:numId w:val="2"/>
        </w:numPr>
        <w:spacing w:after="80"/>
      </w:pPr>
      <w:r>
        <w:rPr>
          <w:color w:val="222222"/>
          <w:sz w:val="21"/>
          <w:szCs w:val="21"/>
        </w:rPr>
        <w:lastRenderedPageBreak/>
        <w:t>Lead times, where available</w:t>
      </w:r>
    </w:p>
    <w:p w:rsidR="008016FA" w:rsidRDefault="00B77AA4">
      <w:pPr>
        <w:pStyle w:val="Heading3"/>
        <w:spacing w:before="180" w:after="100"/>
      </w:pPr>
      <w:r>
        <w:rPr>
          <w:b/>
          <w:bCs/>
          <w:i/>
          <w:iCs/>
          <w:color w:val="333333"/>
          <w:sz w:val="21"/>
          <w:szCs w:val="21"/>
        </w:rPr>
        <w:t>Costing Agent (Pilot)</w:t>
      </w:r>
    </w:p>
    <w:p w:rsidR="008016FA" w:rsidRDefault="00B77AA4">
      <w:pPr>
        <w:pStyle w:val="ListParagraph"/>
        <w:numPr>
          <w:ilvl w:val="0"/>
          <w:numId w:val="2"/>
        </w:numPr>
        <w:spacing w:after="80"/>
      </w:pPr>
      <w:r>
        <w:rPr>
          <w:color w:val="222222"/>
          <w:sz w:val="21"/>
          <w:szCs w:val="21"/>
        </w:rPr>
        <w:t>Generate analog-based cost estimates per BOM line item, using historical purchase and quoted pricing as the primary reference (Phase 1 priority; bottom-up, target-cost, and scenario costing are addressed in Phase 2).</w:t>
      </w:r>
    </w:p>
    <w:p w:rsidR="008016FA" w:rsidRDefault="00B77AA4">
      <w:pPr>
        <w:pStyle w:val="ListParagraph"/>
        <w:numPr>
          <w:ilvl w:val="0"/>
          <w:numId w:val="2"/>
        </w:numPr>
        <w:spacing w:after="80"/>
      </w:pPr>
      <w:r>
        <w:rPr>
          <w:color w:val="222222"/>
          <w:sz w:val="21"/>
          <w:szCs w:val="21"/>
        </w:rPr>
        <w:t>Return each estimate with a confidence level and a low/expected/high range rather than a single number.</w:t>
      </w:r>
    </w:p>
    <w:p w:rsidR="008016FA" w:rsidRDefault="00B77AA4">
      <w:pPr>
        <w:pStyle w:val="ListParagraph"/>
        <w:numPr>
          <w:ilvl w:val="0"/>
          <w:numId w:val="2"/>
        </w:numPr>
        <w:spacing w:after="80"/>
      </w:pPr>
      <w:r>
        <w:rPr>
          <w:color w:val="222222"/>
          <w:sz w:val="21"/>
          <w:szCs w:val="21"/>
        </w:rPr>
        <w:t>Route every cost estimate through a human approval gate before it feeds into a customer-facing quote.</w:t>
      </w:r>
    </w:p>
    <w:p w:rsidR="008016FA" w:rsidRDefault="00B77AA4">
      <w:pPr>
        <w:pStyle w:val="Heading3"/>
        <w:spacing w:before="180" w:after="100"/>
      </w:pPr>
      <w:r>
        <w:rPr>
          <w:b/>
          <w:bCs/>
          <w:i/>
          <w:iCs/>
          <w:color w:val="333333"/>
          <w:sz w:val="21"/>
          <w:szCs w:val="21"/>
        </w:rPr>
        <w:t>AI Sourcing Assistant (Pilot)</w:t>
      </w:r>
    </w:p>
    <w:p w:rsidR="008016FA" w:rsidRDefault="00B77AA4">
      <w:pPr>
        <w:pStyle w:val="ListParagraph"/>
        <w:numPr>
          <w:ilvl w:val="0"/>
          <w:numId w:val="2"/>
        </w:numPr>
        <w:spacing w:after="80"/>
      </w:pPr>
      <w:r>
        <w:rPr>
          <w:color w:val="222222"/>
          <w:sz w:val="21"/>
          <w:szCs w:val="21"/>
        </w:rPr>
        <w:t>Recommend qualified suppliers for a given RFQ's part and material requirements.</w:t>
      </w:r>
    </w:p>
    <w:p w:rsidR="008016FA" w:rsidRDefault="00B77AA4">
      <w:pPr>
        <w:pStyle w:val="ListParagraph"/>
        <w:numPr>
          <w:ilvl w:val="0"/>
          <w:numId w:val="2"/>
        </w:numPr>
        <w:spacing w:after="80"/>
      </w:pPr>
      <w:r>
        <w:rPr>
          <w:color w:val="222222"/>
          <w:sz w:val="21"/>
          <w:szCs w:val="21"/>
        </w:rPr>
        <w:t>Generate draft supplier RFQ emails for human review.</w:t>
      </w:r>
    </w:p>
    <w:p w:rsidR="008016FA" w:rsidRDefault="00B77AA4">
      <w:pPr>
        <w:pStyle w:val="ListParagraph"/>
        <w:numPr>
          <w:ilvl w:val="0"/>
          <w:numId w:val="2"/>
        </w:numPr>
        <w:spacing w:after="80"/>
      </w:pPr>
      <w:r>
        <w:rPr>
          <w:color w:val="222222"/>
          <w:sz w:val="21"/>
          <w:szCs w:val="21"/>
        </w:rPr>
        <w:t>Compare supplier pricing and lead times.</w:t>
      </w:r>
    </w:p>
    <w:p w:rsidR="008016FA" w:rsidRDefault="00B77AA4">
      <w:pPr>
        <w:pStyle w:val="ListParagraph"/>
        <w:numPr>
          <w:ilvl w:val="0"/>
          <w:numId w:val="2"/>
        </w:numPr>
        <w:spacing w:after="80"/>
      </w:pPr>
      <w:r>
        <w:rPr>
          <w:color w:val="222222"/>
          <w:sz w:val="21"/>
          <w:szCs w:val="21"/>
        </w:rPr>
        <w:t>Summarize sourcing recommendations for the quoting team.</w:t>
      </w:r>
    </w:p>
    <w:p w:rsidR="008016FA" w:rsidRDefault="00B77AA4">
      <w:pPr>
        <w:pStyle w:val="Heading3"/>
        <w:spacing w:before="180" w:after="100"/>
      </w:pPr>
      <w:r>
        <w:rPr>
          <w:b/>
          <w:bCs/>
          <w:i/>
          <w:iCs/>
          <w:color w:val="333333"/>
          <w:sz w:val="21"/>
          <w:szCs w:val="21"/>
        </w:rPr>
        <w:t>Accuracy Measurement</w:t>
      </w:r>
    </w:p>
    <w:p w:rsidR="008016FA" w:rsidRDefault="00B77AA4">
      <w:pPr>
        <w:spacing w:after="100"/>
      </w:pPr>
      <w:r>
        <w:rPr>
          <w:color w:val="222222"/>
          <w:sz w:val="21"/>
          <w:szCs w:val="21"/>
        </w:rPr>
        <w:t>The Pilot will evaluate:</w:t>
      </w:r>
    </w:p>
    <w:p w:rsidR="008016FA" w:rsidRDefault="00B77AA4">
      <w:pPr>
        <w:pStyle w:val="ListParagraph"/>
        <w:numPr>
          <w:ilvl w:val="0"/>
          <w:numId w:val="2"/>
        </w:numPr>
        <w:spacing w:after="80"/>
      </w:pPr>
      <w:r>
        <w:rPr>
          <w:color w:val="222222"/>
          <w:sz w:val="21"/>
          <w:szCs w:val="21"/>
        </w:rPr>
        <w:t>Document classification accuracy</w:t>
      </w:r>
    </w:p>
    <w:p w:rsidR="008016FA" w:rsidRDefault="00B77AA4">
      <w:pPr>
        <w:pStyle w:val="ListParagraph"/>
        <w:numPr>
          <w:ilvl w:val="0"/>
          <w:numId w:val="2"/>
        </w:numPr>
        <w:spacing w:after="80"/>
      </w:pPr>
      <w:r>
        <w:rPr>
          <w:color w:val="222222"/>
          <w:sz w:val="21"/>
          <w:szCs w:val="21"/>
        </w:rPr>
        <w:t>Information extraction accuracy</w:t>
      </w:r>
    </w:p>
    <w:p w:rsidR="008016FA" w:rsidRDefault="00B77AA4">
      <w:pPr>
        <w:pStyle w:val="ListParagraph"/>
        <w:numPr>
          <w:ilvl w:val="0"/>
          <w:numId w:val="2"/>
        </w:numPr>
        <w:spacing w:after="80"/>
      </w:pPr>
      <w:r>
        <w:rPr>
          <w:color w:val="222222"/>
          <w:sz w:val="21"/>
          <w:szCs w:val="21"/>
        </w:rPr>
        <w:t>Gap detection accuracy</w:t>
      </w:r>
    </w:p>
    <w:p w:rsidR="008016FA" w:rsidRDefault="00B77AA4">
      <w:pPr>
        <w:pStyle w:val="ListParagraph"/>
        <w:numPr>
          <w:ilvl w:val="0"/>
          <w:numId w:val="2"/>
        </w:numPr>
        <w:spacing w:after="80"/>
      </w:pPr>
      <w:r>
        <w:rPr>
          <w:color w:val="222222"/>
          <w:sz w:val="21"/>
          <w:szCs w:val="21"/>
        </w:rPr>
        <w:t>Similar RFQ retrieval quality</w:t>
      </w:r>
    </w:p>
    <w:p w:rsidR="008016FA" w:rsidRDefault="00B77AA4">
      <w:pPr>
        <w:pStyle w:val="ListParagraph"/>
        <w:numPr>
          <w:ilvl w:val="0"/>
          <w:numId w:val="2"/>
        </w:numPr>
        <w:spacing w:after="80"/>
      </w:pPr>
      <w:r>
        <w:rPr>
          <w:color w:val="222222"/>
          <w:sz w:val="21"/>
          <w:szCs w:val="21"/>
        </w:rPr>
        <w:t>Parts and supplier match accuracy</w:t>
      </w:r>
    </w:p>
    <w:p w:rsidR="008016FA" w:rsidRDefault="00B77AA4">
      <w:pPr>
        <w:pStyle w:val="ListParagraph"/>
        <w:numPr>
          <w:ilvl w:val="0"/>
          <w:numId w:val="2"/>
        </w:numPr>
        <w:spacing w:after="80"/>
      </w:pPr>
      <w:r>
        <w:rPr>
          <w:color w:val="222222"/>
          <w:sz w:val="21"/>
          <w:szCs w:val="21"/>
        </w:rPr>
        <w:t>Time savings and user acceptance</w:t>
      </w:r>
    </w:p>
    <w:p w:rsidR="008016FA" w:rsidRDefault="00B77AA4">
      <w:pPr>
        <w:pStyle w:val="Heading2"/>
        <w:spacing w:before="260" w:after="120"/>
      </w:pPr>
      <w:r>
        <w:rPr>
          <w:b/>
          <w:bCs/>
          <w:color w:val="1F4E5F"/>
          <w:sz w:val="23"/>
          <w:szCs w:val="23"/>
        </w:rPr>
        <w:t>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8016FA">
        <w:tc>
          <w:tcPr>
            <w:tcW w:w="4200" w:type="dxa"/>
            <w:shd w:val="clear" w:color="auto" w:fill="1F4E5F"/>
            <w:tcMar>
              <w:top w:w="100" w:type="dxa"/>
              <w:left w:w="120" w:type="dxa"/>
              <w:bottom w:w="100" w:type="dxa"/>
              <w:right w:w="120" w:type="dxa"/>
            </w:tcMar>
            <w:vAlign w:val="center"/>
          </w:tcPr>
          <w:p w:rsidR="008016FA" w:rsidRDefault="00B77AA4">
            <w:r>
              <w:rPr>
                <w:b/>
                <w:bCs/>
                <w:color w:val="FFFFFF"/>
              </w:rPr>
              <w:t>Phase</w:t>
            </w:r>
          </w:p>
        </w:tc>
        <w:tc>
          <w:tcPr>
            <w:tcW w:w="5160" w:type="dxa"/>
            <w:shd w:val="clear" w:color="auto" w:fill="1F4E5F"/>
            <w:tcMar>
              <w:top w:w="100" w:type="dxa"/>
              <w:left w:w="120" w:type="dxa"/>
              <w:bottom w:w="100" w:type="dxa"/>
              <w:right w:w="120" w:type="dxa"/>
            </w:tcMar>
            <w:vAlign w:val="center"/>
          </w:tcPr>
          <w:p w:rsidR="008016FA" w:rsidRDefault="00B77AA4">
            <w:r>
              <w:rPr>
                <w:b/>
                <w:bCs/>
                <w:color w:val="FFFFFF"/>
              </w:rPr>
              <w:t>Duration</w:t>
            </w:r>
          </w:p>
        </w:tc>
      </w:tr>
      <w:tr w:rsidR="008016FA">
        <w:tc>
          <w:tcPr>
            <w:tcW w:w="4200" w:type="dxa"/>
            <w:tcMar>
              <w:top w:w="100" w:type="dxa"/>
              <w:left w:w="120" w:type="dxa"/>
              <w:bottom w:w="100" w:type="dxa"/>
              <w:right w:w="120" w:type="dxa"/>
            </w:tcMar>
            <w:vAlign w:val="center"/>
          </w:tcPr>
          <w:p w:rsidR="008016FA" w:rsidRDefault="00B77AA4">
            <w:r>
              <w:rPr>
                <w:color w:val="222222"/>
              </w:rPr>
              <w:t>Discovery &amp; Process Mapping</w:t>
            </w:r>
          </w:p>
        </w:tc>
        <w:tc>
          <w:tcPr>
            <w:tcW w:w="5160" w:type="dxa"/>
            <w:tcMar>
              <w:top w:w="100" w:type="dxa"/>
              <w:left w:w="120" w:type="dxa"/>
              <w:bottom w:w="100" w:type="dxa"/>
              <w:right w:w="120" w:type="dxa"/>
            </w:tcMar>
            <w:vAlign w:val="center"/>
          </w:tcPr>
          <w:p w:rsidR="008016FA" w:rsidRDefault="00B77AA4">
            <w:r>
              <w:rPr>
                <w:color w:val="222222"/>
              </w:rPr>
              <w:t>Week 1</w:t>
            </w:r>
          </w:p>
        </w:tc>
      </w:tr>
      <w:tr w:rsidR="008016FA">
        <w:tc>
          <w:tcPr>
            <w:tcW w:w="4200" w:type="dxa"/>
            <w:shd w:val="clear" w:color="auto" w:fill="EAF1F4"/>
            <w:tcMar>
              <w:top w:w="100" w:type="dxa"/>
              <w:left w:w="120" w:type="dxa"/>
              <w:bottom w:w="100" w:type="dxa"/>
              <w:right w:w="120" w:type="dxa"/>
            </w:tcMar>
            <w:vAlign w:val="center"/>
          </w:tcPr>
          <w:p w:rsidR="008016FA" w:rsidRDefault="00B77AA4">
            <w:r>
              <w:rPr>
                <w:color w:val="222222"/>
              </w:rPr>
              <w:t>Knowledge Base Preparation</w:t>
            </w:r>
          </w:p>
        </w:tc>
        <w:tc>
          <w:tcPr>
            <w:tcW w:w="5160" w:type="dxa"/>
            <w:shd w:val="clear" w:color="auto" w:fill="EAF1F4"/>
            <w:tcMar>
              <w:top w:w="100" w:type="dxa"/>
              <w:left w:w="120" w:type="dxa"/>
              <w:bottom w:w="100" w:type="dxa"/>
              <w:right w:w="120" w:type="dxa"/>
            </w:tcMar>
            <w:vAlign w:val="center"/>
          </w:tcPr>
          <w:p w:rsidR="008016FA" w:rsidRDefault="00B77AA4">
            <w:r>
              <w:rPr>
                <w:color w:val="222222"/>
              </w:rPr>
              <w:t>Weeks 2–3</w:t>
            </w:r>
          </w:p>
        </w:tc>
      </w:tr>
      <w:tr w:rsidR="008016FA">
        <w:tc>
          <w:tcPr>
            <w:tcW w:w="4200" w:type="dxa"/>
            <w:tcMar>
              <w:top w:w="100" w:type="dxa"/>
              <w:left w:w="120" w:type="dxa"/>
              <w:bottom w:w="100" w:type="dxa"/>
              <w:right w:w="120" w:type="dxa"/>
            </w:tcMar>
            <w:vAlign w:val="center"/>
          </w:tcPr>
          <w:p w:rsidR="008016FA" w:rsidRDefault="00B77AA4">
            <w:r>
              <w:rPr>
                <w:color w:val="222222"/>
              </w:rPr>
              <w:t>Parts &amp; Supplier Intelligence / Platform Configuration</w:t>
            </w:r>
          </w:p>
        </w:tc>
        <w:tc>
          <w:tcPr>
            <w:tcW w:w="5160" w:type="dxa"/>
            <w:tcMar>
              <w:top w:w="100" w:type="dxa"/>
              <w:left w:w="120" w:type="dxa"/>
              <w:bottom w:w="100" w:type="dxa"/>
              <w:right w:w="120" w:type="dxa"/>
            </w:tcMar>
            <w:vAlign w:val="center"/>
          </w:tcPr>
          <w:p w:rsidR="008016FA" w:rsidRDefault="00B77AA4">
            <w:r>
              <w:rPr>
                <w:color w:val="222222"/>
              </w:rPr>
              <w:t>Weeks 4–6</w:t>
            </w:r>
          </w:p>
        </w:tc>
      </w:tr>
      <w:tr w:rsidR="008016FA">
        <w:tc>
          <w:tcPr>
            <w:tcW w:w="4200" w:type="dxa"/>
            <w:shd w:val="clear" w:color="auto" w:fill="EAF1F4"/>
            <w:tcMar>
              <w:top w:w="100" w:type="dxa"/>
              <w:left w:w="120" w:type="dxa"/>
              <w:bottom w:w="100" w:type="dxa"/>
              <w:right w:w="120" w:type="dxa"/>
            </w:tcMar>
            <w:vAlign w:val="center"/>
          </w:tcPr>
          <w:p w:rsidR="008016FA" w:rsidRDefault="00B77AA4">
            <w:r>
              <w:rPr>
                <w:color w:val="222222"/>
              </w:rPr>
              <w:t>Testing &amp; Validation</w:t>
            </w:r>
          </w:p>
        </w:tc>
        <w:tc>
          <w:tcPr>
            <w:tcW w:w="5160" w:type="dxa"/>
            <w:shd w:val="clear" w:color="auto" w:fill="EAF1F4"/>
            <w:tcMar>
              <w:top w:w="100" w:type="dxa"/>
              <w:left w:w="120" w:type="dxa"/>
              <w:bottom w:w="100" w:type="dxa"/>
              <w:right w:w="120" w:type="dxa"/>
            </w:tcMar>
            <w:vAlign w:val="center"/>
          </w:tcPr>
          <w:p w:rsidR="008016FA" w:rsidRDefault="00B77AA4">
            <w:r>
              <w:rPr>
                <w:color w:val="222222"/>
              </w:rPr>
              <w:t>Week 7</w:t>
            </w:r>
          </w:p>
        </w:tc>
      </w:tr>
      <w:tr w:rsidR="008016FA">
        <w:tc>
          <w:tcPr>
            <w:tcW w:w="4200" w:type="dxa"/>
            <w:tcMar>
              <w:top w:w="100" w:type="dxa"/>
              <w:left w:w="120" w:type="dxa"/>
              <w:bottom w:w="100" w:type="dxa"/>
              <w:right w:w="120" w:type="dxa"/>
            </w:tcMar>
            <w:vAlign w:val="center"/>
          </w:tcPr>
          <w:p w:rsidR="008016FA" w:rsidRDefault="00B77AA4">
            <w:r>
              <w:rPr>
                <w:color w:val="222222"/>
              </w:rPr>
              <w:t>Deployment &amp; Training</w:t>
            </w:r>
          </w:p>
        </w:tc>
        <w:tc>
          <w:tcPr>
            <w:tcW w:w="5160" w:type="dxa"/>
            <w:tcMar>
              <w:top w:w="100" w:type="dxa"/>
              <w:left w:w="120" w:type="dxa"/>
              <w:bottom w:w="100" w:type="dxa"/>
              <w:right w:w="120" w:type="dxa"/>
            </w:tcMar>
            <w:vAlign w:val="center"/>
          </w:tcPr>
          <w:p w:rsidR="008016FA" w:rsidRDefault="00B77AA4">
            <w:r>
              <w:rPr>
                <w:color w:val="222222"/>
              </w:rPr>
              <w:t>Week 8</w:t>
            </w:r>
          </w:p>
        </w:tc>
      </w:tr>
    </w:tbl>
    <w:p w:rsidR="008016FA" w:rsidRDefault="00B77AA4">
      <w:pPr>
        <w:pStyle w:val="Heading2"/>
        <w:spacing w:before="260" w:after="120"/>
      </w:pPr>
      <w:r>
        <w:rPr>
          <w:b/>
          <w:bCs/>
          <w:color w:val="1F4E5F"/>
          <w:sz w:val="23"/>
          <w:szCs w:val="23"/>
        </w:rPr>
        <w:t>Deliverables</w:t>
      </w:r>
    </w:p>
    <w:p w:rsidR="008016FA" w:rsidRDefault="00B77AA4">
      <w:pPr>
        <w:pStyle w:val="ListParagraph"/>
        <w:numPr>
          <w:ilvl w:val="0"/>
          <w:numId w:val="2"/>
        </w:numPr>
        <w:spacing w:after="80"/>
      </w:pPr>
      <w:r>
        <w:rPr>
          <w:color w:val="222222"/>
          <w:sz w:val="21"/>
          <w:szCs w:val="21"/>
        </w:rPr>
        <w:t>AI Knowledge Base and Historical RFQ Repository</w:t>
      </w:r>
    </w:p>
    <w:p w:rsidR="008016FA" w:rsidRDefault="00B77AA4">
      <w:pPr>
        <w:pStyle w:val="ListParagraph"/>
        <w:numPr>
          <w:ilvl w:val="0"/>
          <w:numId w:val="2"/>
        </w:numPr>
        <w:spacing w:after="80"/>
      </w:pPr>
      <w:r>
        <w:rPr>
          <w:color w:val="222222"/>
          <w:sz w:val="21"/>
          <w:szCs w:val="21"/>
        </w:rPr>
        <w:t>RFQ Search Portal and AI RFQ Summary</w:t>
      </w:r>
    </w:p>
    <w:p w:rsidR="008016FA" w:rsidRDefault="00B77AA4">
      <w:pPr>
        <w:pStyle w:val="ListParagraph"/>
        <w:numPr>
          <w:ilvl w:val="0"/>
          <w:numId w:val="2"/>
        </w:numPr>
        <w:spacing w:after="80"/>
      </w:pPr>
      <w:r>
        <w:rPr>
          <w:color w:val="222222"/>
          <w:sz w:val="21"/>
          <w:szCs w:val="21"/>
        </w:rPr>
        <w:t>BOM Intelligence output (structured, matched BOM per RFQ)</w:t>
      </w:r>
    </w:p>
    <w:p w:rsidR="008016FA" w:rsidRDefault="00B77AA4">
      <w:pPr>
        <w:pStyle w:val="ListParagraph"/>
        <w:numPr>
          <w:ilvl w:val="0"/>
          <w:numId w:val="2"/>
        </w:numPr>
        <w:spacing w:after="80"/>
      </w:pPr>
      <w:r>
        <w:rPr>
          <w:color w:val="222222"/>
          <w:sz w:val="21"/>
          <w:szCs w:val="21"/>
        </w:rPr>
        <w:t>Parts Intelligence Repository</w:t>
      </w:r>
    </w:p>
    <w:p w:rsidR="008016FA" w:rsidRDefault="00B77AA4">
      <w:pPr>
        <w:pStyle w:val="ListParagraph"/>
        <w:numPr>
          <w:ilvl w:val="0"/>
          <w:numId w:val="2"/>
        </w:numPr>
        <w:spacing w:after="80"/>
      </w:pPr>
      <w:r>
        <w:rPr>
          <w:color w:val="222222"/>
          <w:sz w:val="21"/>
          <w:szCs w:val="21"/>
        </w:rPr>
        <w:t>Costing Agent (Pilot, analog-based cost estimates with confidence ranges)</w:t>
      </w:r>
    </w:p>
    <w:p w:rsidR="008016FA" w:rsidRDefault="00B77AA4">
      <w:pPr>
        <w:pStyle w:val="ListParagraph"/>
        <w:numPr>
          <w:ilvl w:val="0"/>
          <w:numId w:val="2"/>
        </w:numPr>
        <w:spacing w:after="80"/>
      </w:pPr>
      <w:r>
        <w:rPr>
          <w:color w:val="222222"/>
          <w:sz w:val="21"/>
          <w:szCs w:val="21"/>
        </w:rPr>
        <w:t>Gap Analysis Report</w:t>
      </w:r>
    </w:p>
    <w:p w:rsidR="008016FA" w:rsidRDefault="00B77AA4">
      <w:pPr>
        <w:pStyle w:val="ListParagraph"/>
        <w:numPr>
          <w:ilvl w:val="0"/>
          <w:numId w:val="2"/>
        </w:numPr>
        <w:spacing w:after="80"/>
      </w:pPr>
      <w:r>
        <w:rPr>
          <w:color w:val="222222"/>
          <w:sz w:val="21"/>
          <w:szCs w:val="21"/>
        </w:rPr>
        <w:t>AI Sourcing Assistant (Pilot)</w:t>
      </w:r>
    </w:p>
    <w:p w:rsidR="008016FA" w:rsidRDefault="00B77AA4">
      <w:pPr>
        <w:pStyle w:val="ListParagraph"/>
        <w:numPr>
          <w:ilvl w:val="0"/>
          <w:numId w:val="2"/>
        </w:numPr>
        <w:spacing w:after="80"/>
      </w:pPr>
      <w:r>
        <w:rPr>
          <w:color w:val="222222"/>
          <w:sz w:val="21"/>
          <w:szCs w:val="21"/>
        </w:rPr>
        <w:lastRenderedPageBreak/>
        <w:t>Accuracy Assessment Report</w:t>
      </w:r>
    </w:p>
    <w:p w:rsidR="008016FA" w:rsidRDefault="00B77AA4">
      <w:pPr>
        <w:pStyle w:val="ListParagraph"/>
        <w:numPr>
          <w:ilvl w:val="0"/>
          <w:numId w:val="2"/>
        </w:numPr>
        <w:spacing w:after="80"/>
      </w:pPr>
      <w:r>
        <w:rPr>
          <w:color w:val="222222"/>
          <w:sz w:val="21"/>
          <w:szCs w:val="21"/>
        </w:rPr>
        <w:t>User training</w:t>
      </w:r>
    </w:p>
    <w:p w:rsidR="008016FA" w:rsidRDefault="00B77AA4">
      <w:pPr>
        <w:pStyle w:val="ListParagraph"/>
        <w:numPr>
          <w:ilvl w:val="0"/>
          <w:numId w:val="2"/>
        </w:numPr>
        <w:spacing w:after="80"/>
      </w:pPr>
      <w:r>
        <w:rPr>
          <w:color w:val="222222"/>
          <w:sz w:val="21"/>
          <w:szCs w:val="21"/>
        </w:rPr>
        <w:t>Pilot report and recommendations for production deployment</w:t>
      </w:r>
    </w:p>
    <w:p w:rsidR="008016FA" w:rsidRDefault="00B77AA4">
      <w:pPr>
        <w:pStyle w:val="Heading2"/>
        <w:spacing w:before="260" w:after="120"/>
      </w:pPr>
      <w:r>
        <w:rPr>
          <w:b/>
          <w:bCs/>
          <w:color w:val="1F4E5F"/>
          <w:sz w:val="23"/>
          <w:szCs w:val="23"/>
        </w:rPr>
        <w:t>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8016FA">
        <w:tc>
          <w:tcPr>
            <w:tcW w:w="5400" w:type="dxa"/>
            <w:shd w:val="clear" w:color="auto" w:fill="1F4E5F"/>
            <w:tcMar>
              <w:top w:w="100" w:type="dxa"/>
              <w:left w:w="120" w:type="dxa"/>
              <w:bottom w:w="100" w:type="dxa"/>
              <w:right w:w="120" w:type="dxa"/>
            </w:tcMar>
            <w:vAlign w:val="center"/>
          </w:tcPr>
          <w:p w:rsidR="008016FA" w:rsidRDefault="00B77AA4">
            <w:r>
              <w:rPr>
                <w:b/>
                <w:bCs/>
                <w:color w:val="FFFFFF"/>
              </w:rPr>
              <w:t>KPI</w:t>
            </w:r>
          </w:p>
        </w:tc>
        <w:tc>
          <w:tcPr>
            <w:tcW w:w="3960" w:type="dxa"/>
            <w:shd w:val="clear" w:color="auto" w:fill="1F4E5F"/>
            <w:tcMar>
              <w:top w:w="100" w:type="dxa"/>
              <w:left w:w="120" w:type="dxa"/>
              <w:bottom w:w="100" w:type="dxa"/>
              <w:right w:w="120" w:type="dxa"/>
            </w:tcMar>
            <w:vAlign w:val="center"/>
          </w:tcPr>
          <w:p w:rsidR="008016FA" w:rsidRDefault="00B77AA4">
            <w:r>
              <w:rPr>
                <w:b/>
                <w:bCs/>
                <w:color w:val="FFFFFF"/>
              </w:rPr>
              <w:t>Target</w:t>
            </w:r>
          </w:p>
        </w:tc>
      </w:tr>
      <w:tr w:rsidR="008016FA">
        <w:tc>
          <w:tcPr>
            <w:tcW w:w="5400" w:type="dxa"/>
            <w:tcMar>
              <w:top w:w="100" w:type="dxa"/>
              <w:left w:w="120" w:type="dxa"/>
              <w:bottom w:w="100" w:type="dxa"/>
              <w:right w:w="120" w:type="dxa"/>
            </w:tcMar>
            <w:vAlign w:val="center"/>
          </w:tcPr>
          <w:p w:rsidR="008016FA" w:rsidRDefault="00B77AA4">
            <w:r>
              <w:rPr>
                <w:color w:val="222222"/>
              </w:rPr>
              <w:t>Document Classification</w:t>
            </w:r>
          </w:p>
        </w:tc>
        <w:tc>
          <w:tcPr>
            <w:tcW w:w="3960" w:type="dxa"/>
            <w:tcMar>
              <w:top w:w="100" w:type="dxa"/>
              <w:left w:w="120" w:type="dxa"/>
              <w:bottom w:w="100" w:type="dxa"/>
              <w:right w:w="120" w:type="dxa"/>
            </w:tcMar>
            <w:vAlign w:val="center"/>
          </w:tcPr>
          <w:p w:rsidR="008016FA" w:rsidRDefault="00B77AA4">
            <w:r>
              <w:rPr>
                <w:color w:val="222222"/>
              </w:rPr>
              <w:t>&gt;95%</w:t>
            </w:r>
          </w:p>
        </w:tc>
      </w:tr>
      <w:tr w:rsidR="008016FA">
        <w:tc>
          <w:tcPr>
            <w:tcW w:w="5400" w:type="dxa"/>
            <w:shd w:val="clear" w:color="auto" w:fill="EAF1F4"/>
            <w:tcMar>
              <w:top w:w="100" w:type="dxa"/>
              <w:left w:w="120" w:type="dxa"/>
              <w:bottom w:w="100" w:type="dxa"/>
              <w:right w:w="120" w:type="dxa"/>
            </w:tcMar>
            <w:vAlign w:val="center"/>
          </w:tcPr>
          <w:p w:rsidR="008016FA" w:rsidRDefault="00B77AA4">
            <w:r>
              <w:rPr>
                <w:color w:val="222222"/>
              </w:rPr>
              <w:t>Information Extraction</w:t>
            </w:r>
          </w:p>
        </w:tc>
        <w:tc>
          <w:tcPr>
            <w:tcW w:w="3960" w:type="dxa"/>
            <w:shd w:val="clear" w:color="auto" w:fill="EAF1F4"/>
            <w:tcMar>
              <w:top w:w="100" w:type="dxa"/>
              <w:left w:w="120" w:type="dxa"/>
              <w:bottom w:w="100" w:type="dxa"/>
              <w:right w:w="120" w:type="dxa"/>
            </w:tcMar>
            <w:vAlign w:val="center"/>
          </w:tcPr>
          <w:p w:rsidR="008016FA" w:rsidRDefault="00B77AA4">
            <w:r>
              <w:rPr>
                <w:color w:val="222222"/>
              </w:rPr>
              <w:t>&gt;90%</w:t>
            </w:r>
          </w:p>
        </w:tc>
      </w:tr>
      <w:tr w:rsidR="008016FA">
        <w:tc>
          <w:tcPr>
            <w:tcW w:w="5400" w:type="dxa"/>
            <w:tcMar>
              <w:top w:w="100" w:type="dxa"/>
              <w:left w:w="120" w:type="dxa"/>
              <w:bottom w:w="100" w:type="dxa"/>
              <w:right w:w="120" w:type="dxa"/>
            </w:tcMar>
            <w:vAlign w:val="center"/>
          </w:tcPr>
          <w:p w:rsidR="008016FA" w:rsidRDefault="00B77AA4">
            <w:r>
              <w:rPr>
                <w:color w:val="222222"/>
              </w:rPr>
              <w:t>Gap Detection Precision</w:t>
            </w:r>
          </w:p>
        </w:tc>
        <w:tc>
          <w:tcPr>
            <w:tcW w:w="3960" w:type="dxa"/>
            <w:tcMar>
              <w:top w:w="100" w:type="dxa"/>
              <w:left w:w="120" w:type="dxa"/>
              <w:bottom w:w="100" w:type="dxa"/>
              <w:right w:w="120" w:type="dxa"/>
            </w:tcMar>
            <w:vAlign w:val="center"/>
          </w:tcPr>
          <w:p w:rsidR="008016FA" w:rsidRDefault="00B77AA4">
            <w:r>
              <w:rPr>
                <w:color w:val="222222"/>
              </w:rPr>
              <w:t>&gt;90%</w:t>
            </w:r>
          </w:p>
        </w:tc>
      </w:tr>
      <w:tr w:rsidR="008016FA">
        <w:tc>
          <w:tcPr>
            <w:tcW w:w="5400" w:type="dxa"/>
            <w:shd w:val="clear" w:color="auto" w:fill="EAF1F4"/>
            <w:tcMar>
              <w:top w:w="100" w:type="dxa"/>
              <w:left w:w="120" w:type="dxa"/>
              <w:bottom w:w="100" w:type="dxa"/>
              <w:right w:w="120" w:type="dxa"/>
            </w:tcMar>
            <w:vAlign w:val="center"/>
          </w:tcPr>
          <w:p w:rsidR="008016FA" w:rsidRDefault="00B77AA4">
            <w:r>
              <w:rPr>
                <w:color w:val="222222"/>
              </w:rPr>
              <w:t>Similar RFQ Retrieval</w:t>
            </w:r>
          </w:p>
        </w:tc>
        <w:tc>
          <w:tcPr>
            <w:tcW w:w="3960" w:type="dxa"/>
            <w:shd w:val="clear" w:color="auto" w:fill="EAF1F4"/>
            <w:tcMar>
              <w:top w:w="100" w:type="dxa"/>
              <w:left w:w="120" w:type="dxa"/>
              <w:bottom w:w="100" w:type="dxa"/>
              <w:right w:w="120" w:type="dxa"/>
            </w:tcMar>
            <w:vAlign w:val="center"/>
          </w:tcPr>
          <w:p w:rsidR="008016FA" w:rsidRDefault="00B77AA4">
            <w:r>
              <w:rPr>
                <w:color w:val="222222"/>
              </w:rPr>
              <w:t>Top 3 Relevant Matches</w:t>
            </w:r>
          </w:p>
        </w:tc>
      </w:tr>
      <w:tr w:rsidR="008016FA">
        <w:tc>
          <w:tcPr>
            <w:tcW w:w="5400" w:type="dxa"/>
            <w:tcMar>
              <w:top w:w="100" w:type="dxa"/>
              <w:left w:w="120" w:type="dxa"/>
              <w:bottom w:w="100" w:type="dxa"/>
              <w:right w:w="120" w:type="dxa"/>
            </w:tcMar>
            <w:vAlign w:val="center"/>
          </w:tcPr>
          <w:p w:rsidR="008016FA" w:rsidRDefault="00B77AA4">
            <w:r>
              <w:rPr>
                <w:color w:val="222222"/>
              </w:rPr>
              <w:t>BOM Line Match Accuracy</w:t>
            </w:r>
          </w:p>
        </w:tc>
        <w:tc>
          <w:tcPr>
            <w:tcW w:w="3960" w:type="dxa"/>
            <w:tcMar>
              <w:top w:w="100" w:type="dxa"/>
              <w:left w:w="120" w:type="dxa"/>
              <w:bottom w:w="100" w:type="dxa"/>
              <w:right w:w="120" w:type="dxa"/>
            </w:tcMar>
            <w:vAlign w:val="center"/>
          </w:tcPr>
          <w:p w:rsidR="008016FA" w:rsidRDefault="00B77AA4">
            <w:r>
              <w:rPr>
                <w:color w:val="222222"/>
              </w:rPr>
              <w:t>&gt;90%</w:t>
            </w:r>
          </w:p>
        </w:tc>
      </w:tr>
      <w:tr w:rsidR="008016FA">
        <w:tc>
          <w:tcPr>
            <w:tcW w:w="5400" w:type="dxa"/>
            <w:shd w:val="clear" w:color="auto" w:fill="EAF1F4"/>
            <w:tcMar>
              <w:top w:w="100" w:type="dxa"/>
              <w:left w:w="120" w:type="dxa"/>
              <w:bottom w:w="100" w:type="dxa"/>
              <w:right w:w="120" w:type="dxa"/>
            </w:tcMar>
            <w:vAlign w:val="center"/>
          </w:tcPr>
          <w:p w:rsidR="008016FA" w:rsidRDefault="00B77AA4">
            <w:r>
              <w:rPr>
                <w:color w:val="222222"/>
              </w:rPr>
              <w:t>Parts &amp; Supplier Match Accuracy</w:t>
            </w:r>
          </w:p>
        </w:tc>
        <w:tc>
          <w:tcPr>
            <w:tcW w:w="3960" w:type="dxa"/>
            <w:shd w:val="clear" w:color="auto" w:fill="EAF1F4"/>
            <w:tcMar>
              <w:top w:w="100" w:type="dxa"/>
              <w:left w:w="120" w:type="dxa"/>
              <w:bottom w:w="100" w:type="dxa"/>
              <w:right w:w="120" w:type="dxa"/>
            </w:tcMar>
            <w:vAlign w:val="center"/>
          </w:tcPr>
          <w:p w:rsidR="008016FA" w:rsidRDefault="00B77AA4">
            <w:r>
              <w:rPr>
                <w:color w:val="222222"/>
              </w:rPr>
              <w:t>&gt;85%</w:t>
            </w:r>
          </w:p>
        </w:tc>
      </w:tr>
      <w:tr w:rsidR="008016FA">
        <w:tc>
          <w:tcPr>
            <w:tcW w:w="5400" w:type="dxa"/>
            <w:tcMar>
              <w:top w:w="100" w:type="dxa"/>
              <w:left w:w="120" w:type="dxa"/>
              <w:bottom w:w="100" w:type="dxa"/>
              <w:right w:w="120" w:type="dxa"/>
            </w:tcMar>
            <w:vAlign w:val="center"/>
          </w:tcPr>
          <w:p w:rsidR="008016FA" w:rsidRDefault="00B77AA4">
            <w:r>
              <w:rPr>
                <w:color w:val="222222"/>
              </w:rPr>
              <w:t>Cost Estimate Accuracy (within stated range)</w:t>
            </w:r>
          </w:p>
        </w:tc>
        <w:tc>
          <w:tcPr>
            <w:tcW w:w="3960" w:type="dxa"/>
            <w:tcMar>
              <w:top w:w="100" w:type="dxa"/>
              <w:left w:w="120" w:type="dxa"/>
              <w:bottom w:w="100" w:type="dxa"/>
              <w:right w:w="120" w:type="dxa"/>
            </w:tcMar>
            <w:vAlign w:val="center"/>
          </w:tcPr>
          <w:p w:rsidR="008016FA" w:rsidRDefault="00B77AA4">
            <w:r>
              <w:rPr>
                <w:color w:val="222222"/>
              </w:rPr>
              <w:t>&gt;80%</w:t>
            </w:r>
          </w:p>
        </w:tc>
      </w:tr>
      <w:tr w:rsidR="008016FA">
        <w:tc>
          <w:tcPr>
            <w:tcW w:w="5400" w:type="dxa"/>
            <w:shd w:val="clear" w:color="auto" w:fill="EAF1F4"/>
            <w:tcMar>
              <w:top w:w="100" w:type="dxa"/>
              <w:left w:w="120" w:type="dxa"/>
              <w:bottom w:w="100" w:type="dxa"/>
              <w:right w:w="120" w:type="dxa"/>
            </w:tcMar>
            <w:vAlign w:val="center"/>
          </w:tcPr>
          <w:p w:rsidR="008016FA" w:rsidRDefault="00B77AA4">
            <w:r>
              <w:rPr>
                <w:color w:val="222222"/>
              </w:rPr>
              <w:t>RFQ Preparation Time Reduction</w:t>
            </w:r>
          </w:p>
        </w:tc>
        <w:tc>
          <w:tcPr>
            <w:tcW w:w="3960" w:type="dxa"/>
            <w:shd w:val="clear" w:color="auto" w:fill="EAF1F4"/>
            <w:tcMar>
              <w:top w:w="100" w:type="dxa"/>
              <w:left w:w="120" w:type="dxa"/>
              <w:bottom w:w="100" w:type="dxa"/>
              <w:right w:w="120" w:type="dxa"/>
            </w:tcMar>
            <w:vAlign w:val="center"/>
          </w:tcPr>
          <w:p w:rsidR="008016FA" w:rsidRDefault="00B77AA4">
            <w:r>
              <w:rPr>
                <w:color w:val="222222"/>
              </w:rPr>
              <w:t>30–50%</w:t>
            </w:r>
          </w:p>
        </w:tc>
      </w:tr>
      <w:tr w:rsidR="008016FA">
        <w:tc>
          <w:tcPr>
            <w:tcW w:w="5400" w:type="dxa"/>
            <w:tcMar>
              <w:top w:w="100" w:type="dxa"/>
              <w:left w:w="120" w:type="dxa"/>
              <w:bottom w:w="100" w:type="dxa"/>
              <w:right w:w="120" w:type="dxa"/>
            </w:tcMar>
            <w:vAlign w:val="center"/>
          </w:tcPr>
          <w:p w:rsidR="008016FA" w:rsidRDefault="00B77AA4">
            <w:r>
              <w:rPr>
                <w:color w:val="222222"/>
              </w:rPr>
              <w:t>User Acceptance</w:t>
            </w:r>
          </w:p>
        </w:tc>
        <w:tc>
          <w:tcPr>
            <w:tcW w:w="3960" w:type="dxa"/>
            <w:tcMar>
              <w:top w:w="100" w:type="dxa"/>
              <w:left w:w="120" w:type="dxa"/>
              <w:bottom w:w="100" w:type="dxa"/>
              <w:right w:w="120" w:type="dxa"/>
            </w:tcMar>
            <w:vAlign w:val="center"/>
          </w:tcPr>
          <w:p w:rsidR="008016FA" w:rsidRDefault="00B77AA4">
            <w:r>
              <w:rPr>
                <w:color w:val="222222"/>
              </w:rPr>
              <w:t>Positive Evaluation</w:t>
            </w:r>
          </w:p>
        </w:tc>
      </w:tr>
    </w:tbl>
    <w:p w:rsidR="008016FA" w:rsidRDefault="00B77AA4">
      <w:pPr>
        <w:pStyle w:val="Heading1"/>
        <w:pBdr>
          <w:bottom w:val="single" w:sz="6" w:space="4" w:color="1F4E5F"/>
        </w:pBdr>
        <w:spacing w:before="360" w:after="160"/>
      </w:pPr>
      <w:r>
        <w:rPr>
          <w:b/>
          <w:bCs/>
          <w:color w:val="1F4E5F"/>
          <w:sz w:val="27"/>
          <w:szCs w:val="27"/>
        </w:rPr>
        <w:t>Phase 2 – RFQ Intelligence Platform Subscription</w:t>
      </w:r>
    </w:p>
    <w:p w:rsidR="008016FA" w:rsidRDefault="00B77AA4">
      <w:pPr>
        <w:spacing w:after="160"/>
      </w:pPr>
      <w:r>
        <w:rPr>
          <w:color w:val="222222"/>
          <w:sz w:val="21"/>
          <w:szCs w:val="21"/>
        </w:rPr>
        <w:t>Following successful completion of the Pilot, the platform transitions into an operational subscription service.</w:t>
      </w:r>
    </w:p>
    <w:p w:rsidR="008016FA" w:rsidRDefault="00B77AA4">
      <w:pPr>
        <w:pStyle w:val="Heading2"/>
        <w:spacing w:before="260" w:after="120"/>
      </w:pPr>
      <w:r>
        <w:rPr>
          <w:b/>
          <w:bCs/>
          <w:color w:val="1F4E5F"/>
          <w:sz w:val="23"/>
          <w:szCs w:val="23"/>
        </w:rPr>
        <w:t>Included Services</w:t>
      </w:r>
    </w:p>
    <w:p w:rsidR="008016FA" w:rsidRDefault="00B77AA4">
      <w:pPr>
        <w:pStyle w:val="Heading3"/>
        <w:spacing w:before="180" w:after="100"/>
      </w:pPr>
      <w:r>
        <w:rPr>
          <w:b/>
          <w:bCs/>
          <w:i/>
          <w:iCs/>
          <w:color w:val="333333"/>
          <w:sz w:val="21"/>
          <w:szCs w:val="21"/>
        </w:rPr>
        <w:t>Continuous Knowledge Base</w:t>
      </w:r>
    </w:p>
    <w:p w:rsidR="008016FA" w:rsidRDefault="00B77AA4">
      <w:pPr>
        <w:pStyle w:val="ListParagraph"/>
        <w:numPr>
          <w:ilvl w:val="0"/>
          <w:numId w:val="2"/>
        </w:numPr>
        <w:spacing w:after="80"/>
      </w:pPr>
      <w:r>
        <w:rPr>
          <w:color w:val="222222"/>
          <w:sz w:val="21"/>
          <w:szCs w:val="21"/>
        </w:rPr>
        <w:t>Automatic ingestion of new RFQs</w:t>
      </w:r>
    </w:p>
    <w:p w:rsidR="008016FA" w:rsidRDefault="00B77AA4">
      <w:pPr>
        <w:pStyle w:val="ListParagraph"/>
        <w:numPr>
          <w:ilvl w:val="0"/>
          <w:numId w:val="2"/>
        </w:numPr>
        <w:spacing w:after="80"/>
      </w:pPr>
      <w:r>
        <w:rPr>
          <w:color w:val="222222"/>
          <w:sz w:val="21"/>
          <w:szCs w:val="21"/>
        </w:rPr>
        <w:t>Continuous AI learning</w:t>
      </w:r>
    </w:p>
    <w:p w:rsidR="008016FA" w:rsidRDefault="00B77AA4">
      <w:pPr>
        <w:pStyle w:val="ListParagraph"/>
        <w:numPr>
          <w:ilvl w:val="0"/>
          <w:numId w:val="2"/>
        </w:numPr>
        <w:spacing w:after="80"/>
      </w:pPr>
      <w:r>
        <w:rPr>
          <w:color w:val="222222"/>
          <w:sz w:val="21"/>
          <w:szCs w:val="21"/>
        </w:rPr>
        <w:t>Knowledge base and parts/supplier intelligence maintenance</w:t>
      </w:r>
    </w:p>
    <w:p w:rsidR="008016FA" w:rsidRDefault="00B77AA4">
      <w:pPr>
        <w:pStyle w:val="ListParagraph"/>
        <w:numPr>
          <w:ilvl w:val="0"/>
          <w:numId w:val="2"/>
        </w:numPr>
        <w:spacing w:after="80"/>
      </w:pPr>
      <w:r>
        <w:rPr>
          <w:color w:val="222222"/>
          <w:sz w:val="21"/>
          <w:szCs w:val="21"/>
        </w:rPr>
        <w:t>Search optimization</w:t>
      </w:r>
    </w:p>
    <w:p w:rsidR="008016FA" w:rsidRDefault="00B77AA4">
      <w:pPr>
        <w:pStyle w:val="Heading3"/>
        <w:spacing w:before="180" w:after="100"/>
      </w:pPr>
      <w:r>
        <w:rPr>
          <w:b/>
          <w:bCs/>
          <w:i/>
          <w:iCs/>
          <w:color w:val="333333"/>
          <w:sz w:val="21"/>
          <w:szCs w:val="21"/>
        </w:rPr>
        <w:t>Continuous Improvement</w:t>
      </w:r>
    </w:p>
    <w:p w:rsidR="008016FA" w:rsidRDefault="00B77AA4">
      <w:pPr>
        <w:pStyle w:val="ListParagraph"/>
        <w:numPr>
          <w:ilvl w:val="0"/>
          <w:numId w:val="2"/>
        </w:numPr>
        <w:spacing w:after="80"/>
      </w:pPr>
      <w:r>
        <w:rPr>
          <w:color w:val="222222"/>
          <w:sz w:val="21"/>
          <w:szCs w:val="21"/>
        </w:rPr>
        <w:t>Monthly AI model updates</w:t>
      </w:r>
    </w:p>
    <w:p w:rsidR="008016FA" w:rsidRDefault="00B77AA4">
      <w:pPr>
        <w:pStyle w:val="ListParagraph"/>
        <w:numPr>
          <w:ilvl w:val="0"/>
          <w:numId w:val="2"/>
        </w:numPr>
        <w:spacing w:after="80"/>
      </w:pPr>
      <w:r>
        <w:rPr>
          <w:color w:val="222222"/>
          <w:sz w:val="21"/>
          <w:szCs w:val="21"/>
        </w:rPr>
        <w:t>Prompt optimization</w:t>
      </w:r>
    </w:p>
    <w:p w:rsidR="008016FA" w:rsidRDefault="00B77AA4">
      <w:pPr>
        <w:pStyle w:val="ListParagraph"/>
        <w:numPr>
          <w:ilvl w:val="0"/>
          <w:numId w:val="2"/>
        </w:numPr>
        <w:spacing w:after="80"/>
      </w:pPr>
      <w:r>
        <w:rPr>
          <w:color w:val="222222"/>
          <w:sz w:val="21"/>
          <w:szCs w:val="21"/>
        </w:rPr>
        <w:t>New document template support</w:t>
      </w:r>
    </w:p>
    <w:p w:rsidR="008016FA" w:rsidRDefault="00B77AA4">
      <w:pPr>
        <w:pStyle w:val="ListParagraph"/>
        <w:numPr>
          <w:ilvl w:val="0"/>
          <w:numId w:val="2"/>
        </w:numPr>
        <w:spacing w:after="80"/>
      </w:pPr>
      <w:r>
        <w:rPr>
          <w:color w:val="222222"/>
          <w:sz w:val="21"/>
          <w:szCs w:val="21"/>
        </w:rPr>
        <w:t>Performance monitoring and usage analytics</w:t>
      </w:r>
    </w:p>
    <w:p w:rsidR="008016FA" w:rsidRDefault="00B77AA4">
      <w:pPr>
        <w:pStyle w:val="Heading2"/>
        <w:spacing w:before="260" w:after="120"/>
      </w:pPr>
      <w:r>
        <w:rPr>
          <w:b/>
          <w:bCs/>
          <w:color w:val="1F4E5F"/>
          <w:sz w:val="23"/>
          <w:szCs w:val="23"/>
        </w:rPr>
        <w:t>Phase 2 Roadmap</w:t>
      </w:r>
    </w:p>
    <w:p w:rsidR="008016FA" w:rsidRDefault="00B77AA4">
      <w:pPr>
        <w:spacing w:after="100"/>
      </w:pPr>
      <w:r>
        <w:rPr>
          <w:color w:val="222222"/>
          <w:sz w:val="21"/>
          <w:szCs w:val="21"/>
        </w:rPr>
        <w:t>As the platform matures, the following capabilities are available for future phases:</w:t>
      </w:r>
    </w:p>
    <w:p w:rsidR="008016FA" w:rsidRDefault="00B77AA4">
      <w:pPr>
        <w:pStyle w:val="ListParagraph"/>
        <w:numPr>
          <w:ilvl w:val="0"/>
          <w:numId w:val="2"/>
        </w:numPr>
        <w:spacing w:after="80"/>
      </w:pPr>
      <w:r>
        <w:rPr>
          <w:color w:val="222222"/>
          <w:sz w:val="21"/>
          <w:szCs w:val="21"/>
        </w:rPr>
        <w:t>ERP integration</w:t>
      </w:r>
    </w:p>
    <w:p w:rsidR="008016FA" w:rsidRDefault="00B77AA4">
      <w:pPr>
        <w:pStyle w:val="ListParagraph"/>
        <w:numPr>
          <w:ilvl w:val="0"/>
          <w:numId w:val="2"/>
        </w:numPr>
        <w:spacing w:after="80"/>
      </w:pPr>
      <w:r>
        <w:rPr>
          <w:color w:val="222222"/>
          <w:sz w:val="21"/>
          <w:szCs w:val="21"/>
        </w:rPr>
        <w:t>CRM integration</w:t>
      </w:r>
    </w:p>
    <w:p w:rsidR="008016FA" w:rsidRDefault="00B77AA4">
      <w:pPr>
        <w:pStyle w:val="ListParagraph"/>
        <w:numPr>
          <w:ilvl w:val="0"/>
          <w:numId w:val="2"/>
        </w:numPr>
        <w:spacing w:after="80"/>
      </w:pPr>
      <w:r>
        <w:rPr>
          <w:color w:val="222222"/>
          <w:sz w:val="21"/>
          <w:szCs w:val="21"/>
        </w:rPr>
        <w:t>Automated supplier sourcing</w:t>
      </w:r>
    </w:p>
    <w:p w:rsidR="008016FA" w:rsidRDefault="00B77AA4">
      <w:pPr>
        <w:pStyle w:val="ListParagraph"/>
        <w:numPr>
          <w:ilvl w:val="0"/>
          <w:numId w:val="2"/>
        </w:numPr>
        <w:spacing w:after="80"/>
      </w:pPr>
      <w:r>
        <w:rPr>
          <w:color w:val="222222"/>
          <w:sz w:val="21"/>
          <w:szCs w:val="21"/>
        </w:rPr>
        <w:t>Sales inquiry qualification agent</w:t>
      </w:r>
    </w:p>
    <w:p w:rsidR="008016FA" w:rsidRDefault="00B77AA4">
      <w:pPr>
        <w:pStyle w:val="ListParagraph"/>
        <w:numPr>
          <w:ilvl w:val="0"/>
          <w:numId w:val="2"/>
        </w:numPr>
        <w:spacing w:after="80"/>
      </w:pPr>
      <w:r>
        <w:rPr>
          <w:color w:val="222222"/>
          <w:sz w:val="21"/>
          <w:szCs w:val="21"/>
        </w:rPr>
        <w:t>Executive dashboards</w:t>
      </w:r>
    </w:p>
    <w:p w:rsidR="008016FA" w:rsidRDefault="00B77AA4">
      <w:pPr>
        <w:pStyle w:val="ListParagraph"/>
        <w:numPr>
          <w:ilvl w:val="0"/>
          <w:numId w:val="2"/>
        </w:numPr>
        <w:spacing w:after="80"/>
      </w:pPr>
      <w:r>
        <w:rPr>
          <w:color w:val="222222"/>
          <w:sz w:val="21"/>
          <w:szCs w:val="21"/>
        </w:rPr>
        <w:t>Inventory and procurement intelligence</w:t>
      </w:r>
    </w:p>
    <w:p w:rsidR="008016FA" w:rsidRDefault="00B77AA4">
      <w:pPr>
        <w:pStyle w:val="Heading1"/>
        <w:pBdr>
          <w:bottom w:val="single" w:sz="6" w:space="4" w:color="1F4E5F"/>
        </w:pBdr>
        <w:spacing w:before="360" w:after="160"/>
      </w:pPr>
      <w:r>
        <w:rPr>
          <w:b/>
          <w:bCs/>
          <w:color w:val="1F4E5F"/>
          <w:sz w:val="27"/>
          <w:szCs w:val="27"/>
        </w:rPr>
        <w:t>Appendix A: On-Premise Hardware Confirmation</w:t>
      </w:r>
    </w:p>
    <w:p w:rsidR="008016FA" w:rsidRDefault="00B77AA4">
      <w:pPr>
        <w:spacing w:after="160"/>
      </w:pPr>
      <w:r>
        <w:rPr>
          <w:color w:val="222222"/>
          <w:sz w:val="21"/>
          <w:szCs w:val="21"/>
        </w:rPr>
        <w:t xml:space="preserve">AAG has already deployed an NVIDIA DGX Spark </w:t>
      </w:r>
      <w:proofErr w:type="spellStart"/>
      <w:r>
        <w:rPr>
          <w:color w:val="222222"/>
          <w:sz w:val="21"/>
          <w:szCs w:val="21"/>
        </w:rPr>
        <w:t>on-premise</w:t>
      </w:r>
      <w:proofErr w:type="spellEnd"/>
      <w:r>
        <w:rPr>
          <w:color w:val="222222"/>
          <w:sz w:val="21"/>
          <w:szCs w:val="21"/>
        </w:rPr>
        <w:t>. RFQ, BOM, and pricing data is commercially sensitive, and this appliance is well matched to that requirement: the AI RFQ Intelligence Platform, including the BOM Intelligence Agent and Costing Agent, is designed to run natively on the DGX Spark's local compute and unified memory, with all RFQ, BOM, and pricing data remaining on AAG's own hardware at all times. No additional hardware purchase is required for the Pilot or for production deployment.</w:t>
      </w:r>
    </w:p>
    <w:p w:rsidR="008016FA" w:rsidRDefault="00B77AA4">
      <w:pPr>
        <w:pStyle w:val="Heading2"/>
        <w:spacing w:before="260" w:after="120"/>
      </w:pPr>
      <w:r>
        <w:rPr>
          <w:b/>
          <w:bCs/>
          <w:color w:val="1F4E5F"/>
          <w:sz w:val="23"/>
          <w:szCs w:val="23"/>
        </w:rPr>
        <w:t>Confirmed Platform: NVIDIA DGX Spark (Customer-Owned)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016FA">
        <w:tc>
          <w:tcPr>
            <w:tcW w:w="3200" w:type="dxa"/>
            <w:shd w:val="clear" w:color="auto" w:fill="1F4E5F"/>
            <w:tcMar>
              <w:top w:w="100" w:type="dxa"/>
              <w:left w:w="120" w:type="dxa"/>
              <w:bottom w:w="100" w:type="dxa"/>
              <w:right w:w="120" w:type="dxa"/>
            </w:tcMar>
            <w:vAlign w:val="center"/>
          </w:tcPr>
          <w:p w:rsidR="008016FA" w:rsidRDefault="00B77AA4">
            <w:r>
              <w:rPr>
                <w:b/>
                <w:bCs/>
                <w:color w:val="FFFFFF"/>
              </w:rPr>
              <w:t>Component</w:t>
            </w:r>
          </w:p>
        </w:tc>
        <w:tc>
          <w:tcPr>
            <w:tcW w:w="6160" w:type="dxa"/>
            <w:shd w:val="clear" w:color="auto" w:fill="1F4E5F"/>
            <w:tcMar>
              <w:top w:w="100" w:type="dxa"/>
              <w:left w:w="120" w:type="dxa"/>
              <w:bottom w:w="100" w:type="dxa"/>
              <w:right w:w="120" w:type="dxa"/>
            </w:tcMar>
            <w:vAlign w:val="center"/>
          </w:tcPr>
          <w:p w:rsidR="008016FA" w:rsidRDefault="00B77AA4">
            <w:r>
              <w:rPr>
                <w:b/>
                <w:bCs/>
                <w:color w:val="FFFFFF"/>
              </w:rPr>
              <w:t>Specification</w:t>
            </w:r>
          </w:p>
        </w:tc>
      </w:tr>
      <w:tr w:rsidR="008016FA">
        <w:tc>
          <w:tcPr>
            <w:tcW w:w="3200" w:type="dxa"/>
            <w:tcMar>
              <w:top w:w="100" w:type="dxa"/>
              <w:left w:w="120" w:type="dxa"/>
              <w:bottom w:w="100" w:type="dxa"/>
              <w:right w:w="120" w:type="dxa"/>
            </w:tcMar>
            <w:vAlign w:val="center"/>
          </w:tcPr>
          <w:p w:rsidR="008016FA" w:rsidRDefault="00B77AA4">
            <w:r>
              <w:rPr>
                <w:color w:val="222222"/>
              </w:rPr>
              <w:t>Processor</w:t>
            </w:r>
          </w:p>
        </w:tc>
        <w:tc>
          <w:tcPr>
            <w:tcW w:w="6160" w:type="dxa"/>
            <w:tcMar>
              <w:top w:w="100" w:type="dxa"/>
              <w:left w:w="120" w:type="dxa"/>
              <w:bottom w:w="100" w:type="dxa"/>
              <w:right w:w="120" w:type="dxa"/>
            </w:tcMar>
            <w:vAlign w:val="center"/>
          </w:tcPr>
          <w:p w:rsidR="008016FA" w:rsidRDefault="00B77AA4">
            <w:r>
              <w:rPr>
                <w:color w:val="222222"/>
              </w:rPr>
              <w:t>NVIDIA GB10 Grace Blackwell Superchip (unified Arm CPU + Blackwell GPU on a single package)</w:t>
            </w:r>
          </w:p>
        </w:tc>
      </w:tr>
      <w:tr w:rsidR="008016FA">
        <w:tc>
          <w:tcPr>
            <w:tcW w:w="3200" w:type="dxa"/>
            <w:shd w:val="clear" w:color="auto" w:fill="EAF1F4"/>
            <w:tcMar>
              <w:top w:w="100" w:type="dxa"/>
              <w:left w:w="120" w:type="dxa"/>
              <w:bottom w:w="100" w:type="dxa"/>
              <w:right w:w="120" w:type="dxa"/>
            </w:tcMar>
            <w:vAlign w:val="center"/>
          </w:tcPr>
          <w:p w:rsidR="008016FA" w:rsidRDefault="00B77AA4">
            <w:r>
              <w:rPr>
                <w:color w:val="222222"/>
              </w:rPr>
              <w:t>Memory</w:t>
            </w:r>
          </w:p>
        </w:tc>
        <w:tc>
          <w:tcPr>
            <w:tcW w:w="6160" w:type="dxa"/>
            <w:shd w:val="clear" w:color="auto" w:fill="EAF1F4"/>
            <w:tcMar>
              <w:top w:w="100" w:type="dxa"/>
              <w:left w:w="120" w:type="dxa"/>
              <w:bottom w:w="100" w:type="dxa"/>
              <w:right w:w="120" w:type="dxa"/>
            </w:tcMar>
            <w:vAlign w:val="center"/>
          </w:tcPr>
          <w:p w:rsidR="008016FA" w:rsidRDefault="00B77AA4">
            <w:r>
              <w:rPr>
                <w:color w:val="222222"/>
              </w:rPr>
              <w:t>128 GB unified LPDDR5x memory, shared between CPU and GPU</w:t>
            </w:r>
          </w:p>
        </w:tc>
      </w:tr>
      <w:tr w:rsidR="008016FA">
        <w:tc>
          <w:tcPr>
            <w:tcW w:w="3200" w:type="dxa"/>
            <w:tcMar>
              <w:top w:w="100" w:type="dxa"/>
              <w:left w:w="120" w:type="dxa"/>
              <w:bottom w:w="100" w:type="dxa"/>
              <w:right w:w="120" w:type="dxa"/>
            </w:tcMar>
            <w:vAlign w:val="center"/>
          </w:tcPr>
          <w:p w:rsidR="008016FA" w:rsidRDefault="00B77AA4">
            <w:r>
              <w:rPr>
                <w:color w:val="222222"/>
              </w:rPr>
              <w:t>AI Performance</w:t>
            </w:r>
          </w:p>
        </w:tc>
        <w:tc>
          <w:tcPr>
            <w:tcW w:w="6160" w:type="dxa"/>
            <w:tcMar>
              <w:top w:w="100" w:type="dxa"/>
              <w:left w:w="120" w:type="dxa"/>
              <w:bottom w:w="100" w:type="dxa"/>
              <w:right w:w="120" w:type="dxa"/>
            </w:tcMar>
            <w:vAlign w:val="center"/>
          </w:tcPr>
          <w:p w:rsidR="008016FA" w:rsidRDefault="00B77AA4">
            <w:r>
              <w:rPr>
                <w:color w:val="222222"/>
              </w:rPr>
              <w:t xml:space="preserve">Up to 1 </w:t>
            </w:r>
            <w:proofErr w:type="spellStart"/>
            <w:r>
              <w:rPr>
                <w:color w:val="222222"/>
              </w:rPr>
              <w:t>petaFLOP</w:t>
            </w:r>
            <w:proofErr w:type="spellEnd"/>
            <w:r>
              <w:rPr>
                <w:color w:val="222222"/>
              </w:rPr>
              <w:t xml:space="preserve"> of AI compute (sparse FP4); capable of running local models up to roughly 200B parameters for inference</w:t>
            </w:r>
          </w:p>
        </w:tc>
      </w:tr>
      <w:tr w:rsidR="008016FA">
        <w:tc>
          <w:tcPr>
            <w:tcW w:w="3200" w:type="dxa"/>
            <w:shd w:val="clear" w:color="auto" w:fill="EAF1F4"/>
            <w:tcMar>
              <w:top w:w="100" w:type="dxa"/>
              <w:left w:w="120" w:type="dxa"/>
              <w:bottom w:w="100" w:type="dxa"/>
              <w:right w:w="120" w:type="dxa"/>
            </w:tcMar>
            <w:vAlign w:val="center"/>
          </w:tcPr>
          <w:p w:rsidR="008016FA" w:rsidRDefault="00B77AA4">
            <w:r>
              <w:rPr>
                <w:color w:val="222222"/>
              </w:rPr>
              <w:t>Storage</w:t>
            </w:r>
          </w:p>
        </w:tc>
        <w:tc>
          <w:tcPr>
            <w:tcW w:w="6160" w:type="dxa"/>
            <w:shd w:val="clear" w:color="auto" w:fill="EAF1F4"/>
            <w:tcMar>
              <w:top w:w="100" w:type="dxa"/>
              <w:left w:w="120" w:type="dxa"/>
              <w:bottom w:w="100" w:type="dxa"/>
              <w:right w:w="120" w:type="dxa"/>
            </w:tcMar>
            <w:vAlign w:val="center"/>
          </w:tcPr>
          <w:p w:rsidR="008016FA" w:rsidRDefault="00B77AA4">
            <w:r>
              <w:rPr>
                <w:color w:val="222222"/>
              </w:rPr>
              <w:t xml:space="preserve">Up to 4 TB </w:t>
            </w:r>
            <w:proofErr w:type="spellStart"/>
            <w:r>
              <w:rPr>
                <w:color w:val="222222"/>
              </w:rPr>
              <w:t>NVMe</w:t>
            </w:r>
            <w:proofErr w:type="spellEnd"/>
            <w:r>
              <w:rPr>
                <w:color w:val="222222"/>
              </w:rPr>
              <w:t xml:space="preserve"> SSD</w:t>
            </w:r>
          </w:p>
        </w:tc>
      </w:tr>
      <w:tr w:rsidR="008016FA">
        <w:tc>
          <w:tcPr>
            <w:tcW w:w="3200" w:type="dxa"/>
            <w:tcMar>
              <w:top w:w="100" w:type="dxa"/>
              <w:left w:w="120" w:type="dxa"/>
              <w:bottom w:w="100" w:type="dxa"/>
              <w:right w:w="120" w:type="dxa"/>
            </w:tcMar>
            <w:vAlign w:val="center"/>
          </w:tcPr>
          <w:p w:rsidR="008016FA" w:rsidRDefault="00B77AA4">
            <w:r>
              <w:rPr>
                <w:color w:val="222222"/>
              </w:rPr>
              <w:t>Networking</w:t>
            </w:r>
          </w:p>
        </w:tc>
        <w:tc>
          <w:tcPr>
            <w:tcW w:w="6160" w:type="dxa"/>
            <w:tcMar>
              <w:top w:w="100" w:type="dxa"/>
              <w:left w:w="120" w:type="dxa"/>
              <w:bottom w:w="100" w:type="dxa"/>
              <w:right w:w="120" w:type="dxa"/>
            </w:tcMar>
            <w:vAlign w:val="center"/>
          </w:tcPr>
          <w:p w:rsidR="008016FA" w:rsidRDefault="00B77AA4">
            <w:r>
              <w:rPr>
                <w:color w:val="222222"/>
              </w:rPr>
              <w:t xml:space="preserve">NVIDIA ConnectX-7 (up to 200 </w:t>
            </w:r>
            <w:proofErr w:type="spellStart"/>
            <w:r>
              <w:rPr>
                <w:color w:val="222222"/>
              </w:rPr>
              <w:t>Gbps</w:t>
            </w:r>
            <w:proofErr w:type="spellEnd"/>
            <w:r>
              <w:rPr>
                <w:color w:val="222222"/>
              </w:rPr>
              <w:t>) — supports linking a second unit for larger models or future scale-out</w:t>
            </w:r>
          </w:p>
        </w:tc>
      </w:tr>
      <w:tr w:rsidR="008016FA">
        <w:tc>
          <w:tcPr>
            <w:tcW w:w="3200" w:type="dxa"/>
            <w:shd w:val="clear" w:color="auto" w:fill="EAF1F4"/>
            <w:tcMar>
              <w:top w:w="100" w:type="dxa"/>
              <w:left w:w="120" w:type="dxa"/>
              <w:bottom w:w="100" w:type="dxa"/>
              <w:right w:w="120" w:type="dxa"/>
            </w:tcMar>
            <w:vAlign w:val="center"/>
          </w:tcPr>
          <w:p w:rsidR="008016FA" w:rsidRDefault="00B77AA4">
            <w:r>
              <w:rPr>
                <w:color w:val="222222"/>
              </w:rPr>
              <w:t>Software</w:t>
            </w:r>
          </w:p>
        </w:tc>
        <w:tc>
          <w:tcPr>
            <w:tcW w:w="6160" w:type="dxa"/>
            <w:shd w:val="clear" w:color="auto" w:fill="EAF1F4"/>
            <w:tcMar>
              <w:top w:w="100" w:type="dxa"/>
              <w:left w:w="120" w:type="dxa"/>
              <w:bottom w:w="100" w:type="dxa"/>
              <w:right w:w="120" w:type="dxa"/>
            </w:tcMar>
            <w:vAlign w:val="center"/>
          </w:tcPr>
          <w:p w:rsidR="008016FA" w:rsidRDefault="00B77AA4">
            <w:r>
              <w:rPr>
                <w:color w:val="222222"/>
              </w:rPr>
              <w:t>NVIDIA DGX OS (Ubuntu-based Linux) with full CUDA stack, pre-installed AI development and inference tooling</w:t>
            </w:r>
          </w:p>
        </w:tc>
      </w:tr>
      <w:tr w:rsidR="008016FA">
        <w:tc>
          <w:tcPr>
            <w:tcW w:w="3200" w:type="dxa"/>
            <w:tcMar>
              <w:top w:w="100" w:type="dxa"/>
              <w:left w:w="120" w:type="dxa"/>
              <w:bottom w:w="100" w:type="dxa"/>
              <w:right w:w="120" w:type="dxa"/>
            </w:tcMar>
            <w:vAlign w:val="center"/>
          </w:tcPr>
          <w:p w:rsidR="008016FA" w:rsidRDefault="00B77AA4">
            <w:r>
              <w:rPr>
                <w:color w:val="222222"/>
              </w:rPr>
              <w:t>Form Factor</w:t>
            </w:r>
          </w:p>
        </w:tc>
        <w:tc>
          <w:tcPr>
            <w:tcW w:w="6160" w:type="dxa"/>
            <w:tcMar>
              <w:top w:w="100" w:type="dxa"/>
              <w:left w:w="120" w:type="dxa"/>
              <w:bottom w:w="100" w:type="dxa"/>
              <w:right w:w="120" w:type="dxa"/>
            </w:tcMar>
            <w:vAlign w:val="center"/>
          </w:tcPr>
          <w:p w:rsidR="008016FA" w:rsidRDefault="00B77AA4">
            <w:r>
              <w:rPr>
                <w:color w:val="222222"/>
              </w:rPr>
              <w:t>Compact desktop appliance (approx. 6" x 6" x 2"), quiet operation suited for office or engineering-department deployment</w:t>
            </w:r>
          </w:p>
        </w:tc>
      </w:tr>
    </w:tbl>
    <w:p w:rsidR="008016FA" w:rsidRDefault="00B77AA4">
      <w:pPr>
        <w:spacing w:before="160" w:after="100"/>
      </w:pPr>
      <w:r>
        <w:rPr>
          <w:color w:val="222222"/>
          <w:sz w:val="21"/>
          <w:szCs w:val="21"/>
        </w:rPr>
        <w:t>This configuration is confirmed as sufficient for AAG's expected pilot and production workload:</w:t>
      </w:r>
    </w:p>
    <w:p w:rsidR="008016FA" w:rsidRDefault="00B77AA4">
      <w:pPr>
        <w:pStyle w:val="ListParagraph"/>
        <w:numPr>
          <w:ilvl w:val="0"/>
          <w:numId w:val="2"/>
        </w:numPr>
        <w:spacing w:after="80"/>
      </w:pPr>
      <w:r>
        <w:rPr>
          <w:color w:val="222222"/>
          <w:sz w:val="21"/>
          <w:szCs w:val="21"/>
        </w:rPr>
        <w:t>Knowledge base creation, OCR, and AI document classification</w:t>
      </w:r>
    </w:p>
    <w:p w:rsidR="008016FA" w:rsidRDefault="00B77AA4">
      <w:pPr>
        <w:pStyle w:val="ListParagraph"/>
        <w:numPr>
          <w:ilvl w:val="0"/>
          <w:numId w:val="2"/>
        </w:numPr>
        <w:spacing w:after="80"/>
      </w:pPr>
      <w:r>
        <w:rPr>
          <w:color w:val="222222"/>
          <w:sz w:val="21"/>
          <w:szCs w:val="21"/>
        </w:rPr>
        <w:t>Historical RFQ, BOM, and drawing ingestion at a volume of ~200 RFQs per year</w:t>
      </w:r>
    </w:p>
    <w:p w:rsidR="008016FA" w:rsidRDefault="00B77AA4">
      <w:pPr>
        <w:pStyle w:val="ListParagraph"/>
        <w:numPr>
          <w:ilvl w:val="0"/>
          <w:numId w:val="2"/>
        </w:numPr>
        <w:spacing w:after="80"/>
      </w:pPr>
      <w:r>
        <w:rPr>
          <w:color w:val="222222"/>
          <w:sz w:val="21"/>
          <w:szCs w:val="21"/>
        </w:rPr>
        <w:t>BOM Intelligence Agent parsing and part matching</w:t>
      </w:r>
    </w:p>
    <w:p w:rsidR="008016FA" w:rsidRDefault="00B77AA4">
      <w:pPr>
        <w:pStyle w:val="ListParagraph"/>
        <w:numPr>
          <w:ilvl w:val="0"/>
          <w:numId w:val="2"/>
        </w:numPr>
        <w:spacing w:after="80"/>
      </w:pPr>
      <w:r>
        <w:rPr>
          <w:color w:val="222222"/>
          <w:sz w:val="21"/>
          <w:szCs w:val="21"/>
        </w:rPr>
        <w:t>Costing Agent analog-based cost estimation</w:t>
      </w:r>
    </w:p>
    <w:p w:rsidR="008016FA" w:rsidRDefault="00B77AA4">
      <w:pPr>
        <w:pStyle w:val="ListParagraph"/>
        <w:numPr>
          <w:ilvl w:val="0"/>
          <w:numId w:val="2"/>
        </w:numPr>
        <w:spacing w:after="80"/>
      </w:pPr>
      <w:r>
        <w:rPr>
          <w:color w:val="222222"/>
          <w:sz w:val="21"/>
          <w:szCs w:val="21"/>
        </w:rPr>
        <w:t>Gap detection and similar-RFQ retrieval</w:t>
      </w:r>
    </w:p>
    <w:p w:rsidR="008016FA" w:rsidRDefault="00B77AA4">
      <w:pPr>
        <w:pStyle w:val="ListParagraph"/>
        <w:numPr>
          <w:ilvl w:val="0"/>
          <w:numId w:val="2"/>
        </w:numPr>
        <w:spacing w:after="80"/>
      </w:pPr>
      <w:r>
        <w:rPr>
          <w:color w:val="222222"/>
          <w:sz w:val="21"/>
          <w:szCs w:val="21"/>
        </w:rPr>
        <w:t>Parts and supplier matching</w:t>
      </w:r>
    </w:p>
    <w:p w:rsidR="008016FA" w:rsidRDefault="00B77AA4">
      <w:pPr>
        <w:pStyle w:val="ListParagraph"/>
        <w:numPr>
          <w:ilvl w:val="0"/>
          <w:numId w:val="2"/>
        </w:numPr>
        <w:spacing w:after="80"/>
      </w:pPr>
      <w:r>
        <w:rPr>
          <w:color w:val="222222"/>
          <w:sz w:val="21"/>
          <w:szCs w:val="21"/>
        </w:rPr>
        <w:t>AI Sourcing Assistant reasoning</w:t>
      </w:r>
    </w:p>
    <w:p w:rsidR="008016FA" w:rsidRDefault="00B77AA4">
      <w:pPr>
        <w:pStyle w:val="ListParagraph"/>
        <w:numPr>
          <w:ilvl w:val="0"/>
          <w:numId w:val="2"/>
        </w:numPr>
        <w:spacing w:after="80"/>
      </w:pPr>
      <w:r>
        <w:rPr>
          <w:color w:val="222222"/>
          <w:sz w:val="21"/>
          <w:szCs w:val="21"/>
        </w:rPr>
        <w:t xml:space="preserve">Fully </w:t>
      </w:r>
      <w:proofErr w:type="spellStart"/>
      <w:r>
        <w:rPr>
          <w:color w:val="222222"/>
          <w:sz w:val="21"/>
          <w:szCs w:val="21"/>
        </w:rPr>
        <w:t>on-premise</w:t>
      </w:r>
      <w:proofErr w:type="spellEnd"/>
      <w:r>
        <w:rPr>
          <w:color w:val="222222"/>
          <w:sz w:val="21"/>
          <w:szCs w:val="21"/>
        </w:rPr>
        <w:t xml:space="preserve"> operation, with no RFQ, BOM, or pricing data leaving AAG's facility</w:t>
      </w:r>
    </w:p>
    <w:p w:rsidR="008016FA" w:rsidRDefault="00B77AA4">
      <w:pPr>
        <w:pStyle w:val="Heading2"/>
        <w:spacing w:before="260" w:after="120"/>
      </w:pPr>
      <w:r>
        <w:rPr>
          <w:b/>
          <w:bCs/>
          <w:color w:val="1F4E5F"/>
          <w:sz w:val="23"/>
          <w:szCs w:val="23"/>
        </w:rPr>
        <w:t>Scaling Beyond the Pilot</w:t>
      </w:r>
    </w:p>
    <w:p w:rsidR="008016FA" w:rsidRDefault="00B77AA4">
      <w:pPr>
        <w:spacing w:after="160"/>
      </w:pPr>
      <w:r>
        <w:rPr>
          <w:color w:val="222222"/>
          <w:sz w:val="21"/>
          <w:szCs w:val="21"/>
        </w:rPr>
        <w:t>A single DGX Spark unit is sufficient for the Pilot and initial production deployment at AAG's current RFQ volume. Should RFQ volume, concurrent users, or model size grow materially beyond the Pilot scope, a second unit can be linked via the DGX Spark's ConnectX-7 networking for additional headroom; this is not required to complete the Pilot or Phase 1 production rollout.</w:t>
      </w:r>
    </w:p>
    <w:p w:rsidR="008016FA" w:rsidRDefault="00B77AA4">
      <w:pPr>
        <w:spacing w:after="200"/>
      </w:pPr>
      <w:r>
        <w:rPr>
          <w:color w:val="222222"/>
          <w:sz w:val="21"/>
          <w:szCs w:val="21"/>
        </w:rPr>
        <w:t>Because AAG already owns the DGX Spark outright, there is no recurring hardware or GPU-cloud cost associated with this deployment — the Phase 2 subscription fee covers software, knowledge base maintenance, and support only. Cloud deployment remains available as an alternative for organizations that require multi-site access or elastic scaling, but is not required for AAG's anticipated single-site workload.</w:t>
      </w:r>
    </w:p>
    <w:sectPr w:rsidR="008016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F24E39"/>
    <w:multiLevelType w:val="hybridMultilevel"/>
    <w:tmpl w:val="534043F2"/>
    <w:lvl w:ilvl="0" w:tplc="E8D03A70">
      <w:start w:val="1"/>
      <w:numFmt w:val="bullet"/>
      <w:lvlText w:val="●"/>
      <w:lvlJc w:val="left"/>
      <w:pPr>
        <w:ind w:left="720" w:hanging="360"/>
      </w:pPr>
    </w:lvl>
    <w:lvl w:ilvl="1" w:tplc="51F21EE0">
      <w:start w:val="1"/>
      <w:numFmt w:val="bullet"/>
      <w:lvlText w:val="○"/>
      <w:lvlJc w:val="left"/>
      <w:pPr>
        <w:ind w:left="1440" w:hanging="360"/>
      </w:pPr>
    </w:lvl>
    <w:lvl w:ilvl="2" w:tplc="FE6E48A2">
      <w:start w:val="1"/>
      <w:numFmt w:val="bullet"/>
      <w:lvlText w:val="■"/>
      <w:lvlJc w:val="left"/>
      <w:pPr>
        <w:ind w:left="2160" w:hanging="360"/>
      </w:pPr>
    </w:lvl>
    <w:lvl w:ilvl="3" w:tplc="BAF6E312">
      <w:start w:val="1"/>
      <w:numFmt w:val="bullet"/>
      <w:lvlText w:val="●"/>
      <w:lvlJc w:val="left"/>
      <w:pPr>
        <w:ind w:left="2880" w:hanging="360"/>
      </w:pPr>
    </w:lvl>
    <w:lvl w:ilvl="4" w:tplc="B3E4AAA2">
      <w:start w:val="1"/>
      <w:numFmt w:val="bullet"/>
      <w:lvlText w:val="○"/>
      <w:lvlJc w:val="left"/>
      <w:pPr>
        <w:ind w:left="3600" w:hanging="360"/>
      </w:pPr>
    </w:lvl>
    <w:lvl w:ilvl="5" w:tplc="76E24344">
      <w:start w:val="1"/>
      <w:numFmt w:val="bullet"/>
      <w:lvlText w:val="■"/>
      <w:lvlJc w:val="left"/>
      <w:pPr>
        <w:ind w:left="4320" w:hanging="360"/>
      </w:pPr>
    </w:lvl>
    <w:lvl w:ilvl="6" w:tplc="D20A5E1C">
      <w:start w:val="1"/>
      <w:numFmt w:val="bullet"/>
      <w:lvlText w:val="●"/>
      <w:lvlJc w:val="left"/>
      <w:pPr>
        <w:ind w:left="5040" w:hanging="360"/>
      </w:pPr>
    </w:lvl>
    <w:lvl w:ilvl="7" w:tplc="CAA476F8">
      <w:start w:val="1"/>
      <w:numFmt w:val="bullet"/>
      <w:lvlText w:val="●"/>
      <w:lvlJc w:val="left"/>
      <w:pPr>
        <w:ind w:left="5760" w:hanging="360"/>
      </w:pPr>
    </w:lvl>
    <w:lvl w:ilvl="8" w:tplc="66BA5FD4">
      <w:start w:val="1"/>
      <w:numFmt w:val="bullet"/>
      <w:lvlText w:val="●"/>
      <w:lvlJc w:val="left"/>
      <w:pPr>
        <w:ind w:left="6480" w:hanging="360"/>
      </w:pPr>
    </w:lvl>
  </w:abstractNum>
  <w:abstractNum w:abstractNumId="1" w15:restartNumberingAfterBreak="0">
    <w:nsid w:val="626168DB"/>
    <w:multiLevelType w:val="hybridMultilevel"/>
    <w:tmpl w:val="BF5E229E"/>
    <w:lvl w:ilvl="0" w:tplc="914A3014">
      <w:start w:val="1"/>
      <w:numFmt w:val="bullet"/>
      <w:lvlText w:val="•"/>
      <w:lvlJc w:val="left"/>
      <w:pPr>
        <w:ind w:left="360" w:hanging="260"/>
      </w:pPr>
    </w:lvl>
    <w:lvl w:ilvl="1" w:tplc="C9822A08">
      <w:start w:val="1"/>
      <w:numFmt w:val="bullet"/>
      <w:lvlText w:val="–"/>
      <w:lvlJc w:val="left"/>
      <w:pPr>
        <w:ind w:left="720" w:hanging="260"/>
      </w:pPr>
    </w:lvl>
    <w:lvl w:ilvl="2" w:tplc="DF381FAE">
      <w:numFmt w:val="decimal"/>
      <w:lvlText w:val=""/>
      <w:lvlJc w:val="left"/>
    </w:lvl>
    <w:lvl w:ilvl="3" w:tplc="C46CE6BC">
      <w:numFmt w:val="decimal"/>
      <w:lvlText w:val=""/>
      <w:lvlJc w:val="left"/>
    </w:lvl>
    <w:lvl w:ilvl="4" w:tplc="52145420">
      <w:numFmt w:val="decimal"/>
      <w:lvlText w:val=""/>
      <w:lvlJc w:val="left"/>
    </w:lvl>
    <w:lvl w:ilvl="5" w:tplc="C5EEEBF2">
      <w:numFmt w:val="decimal"/>
      <w:lvlText w:val=""/>
      <w:lvlJc w:val="left"/>
    </w:lvl>
    <w:lvl w:ilvl="6" w:tplc="26224F30">
      <w:numFmt w:val="decimal"/>
      <w:lvlText w:val=""/>
      <w:lvlJc w:val="left"/>
    </w:lvl>
    <w:lvl w:ilvl="7" w:tplc="7E109C3E">
      <w:numFmt w:val="decimal"/>
      <w:lvlText w:val=""/>
      <w:lvlJc w:val="left"/>
    </w:lvl>
    <w:lvl w:ilvl="8" w:tplc="9D7E973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6FA"/>
    <w:rsid w:val="002403A0"/>
    <w:rsid w:val="00560F31"/>
    <w:rsid w:val="008016FA"/>
    <w:rsid w:val="00B77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354986-DC15-4C39-9E87-9B598E15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2026-08-02T04:33:00Z</dcterms:created>
  <dcterms:modified xsi:type="dcterms:W3CDTF">2026-08-02T04:38:00Z</dcterms:modified>
</cp:coreProperties>
</file>