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RFQ Assistant Agent</w:t>
        <w:br/>
      </w:r>
      <w:r>
        <w:rPr>
          <w:rFonts w:ascii="Arial" w:hAnsi="Arial"/>
          <w:b w:val="0"/>
          <w:color w:val="282828"/>
          <w:sz w:val="32"/>
        </w:rPr>
        <w:t>Internal Tool Specification Pack</w:t>
        <w:br/>
      </w:r>
    </w:p>
    <w:p>
      <w:pPr>
        <w:pStyle w:val="Subtitle"/>
        <w:jc w:val="center"/>
      </w:pPr>
      <w:r>
        <w:t>Integrated package for database schema, parsing prompts, and gap analysis rules.</w:t>
        <w:br/>
      </w:r>
      <w:r>
        <w:t>Prepared for supplier-side RFQ review and quotation support workflows.</w:t>
      </w:r>
    </w:p>
    <w:p/>
    <w:p>
      <w:pPr>
        <w:jc w:val="center"/>
      </w:pPr>
      <w:r>
        <w:rPr>
          <w:rFonts w:ascii="Arial" w:hAnsi="Arial"/>
          <w:color w:val="5A5A5A"/>
          <w:sz w:val="20"/>
        </w:rPr>
        <w:t>Audience: Quotation Engineering / Program Management / IT</w:t>
        <w:br/>
      </w:r>
      <w:r>
        <w:rPr>
          <w:rFonts w:ascii="Arial" w:hAnsi="Arial"/>
          <w:color w:val="5A5A5A"/>
          <w:sz w:val="20"/>
        </w:rPr>
        <w:t>Scope: Internal decision-support tool, not autonomous quoting</w:t>
        <w:br/>
      </w:r>
      <w:r>
        <w:rPr>
          <w:rFonts w:ascii="Arial" w:hAnsi="Arial"/>
          <w:color w:val="5A5A5A"/>
          <w:sz w:val="20"/>
        </w:rPr>
        <w:t>Language: English</w:t>
        <w:br/>
      </w:r>
    </w:p>
    <w:p>
      <w:r>
        <w:br w:type="page"/>
      </w:r>
    </w:p>
    <w:p>
      <w:pPr>
        <w:pStyle w:val="Heading1"/>
      </w:pPr>
      <w:r>
        <w:t>1. Executive Summary</w:t>
      </w:r>
    </w:p>
    <w:p>
      <w:r>
        <w:t>This document consolidates the three implementation blocks most often requested for an internal RFQ assistant: (1) production-ready SQL-level database structure, (2) RFQ parsing prompts that can be connected directly to an API workflow, and (3) a practical rule library for gap analysis against historical RFQ submissions. The design assumes a supplier environment where the tool supports human quotation engineers, identifies missing scope, compares similar projects, and explains why a risk or cost driver is flagged.</w:t>
      </w:r>
    </w:p>
    <w:p>
      <w:pPr>
        <w:pStyle w:val="Heading1"/>
      </w:pPr>
      <w:r>
        <w:t>2. Design Principles</w:t>
      </w:r>
    </w:p>
    <w:p>
      <w:pPr>
        <w:ind w:left="259" w:hanging="259"/>
      </w:pPr>
      <w:r>
        <w:rPr>
          <w:rFonts w:ascii="Arial" w:hAnsi="Arial"/>
          <w:sz w:val="21"/>
        </w:rPr>
        <w:t>• Human-in-the-loop: the system assists engineers and buyers; it does not replace final commercial judgment.</w:t>
      </w:r>
    </w:p>
    <w:p>
      <w:pPr>
        <w:ind w:left="259" w:hanging="259"/>
      </w:pPr>
      <w:r>
        <w:rPr>
          <w:rFonts w:ascii="Arial" w:hAnsi="Arial"/>
          <w:sz w:val="21"/>
        </w:rPr>
        <w:t>• Traceability first: every recommendation should point back to source RFQ content, historical jobs, or explicit rules.</w:t>
      </w:r>
    </w:p>
    <w:p>
      <w:pPr>
        <w:ind w:left="259" w:hanging="259"/>
      </w:pPr>
      <w:r>
        <w:rPr>
          <w:rFonts w:ascii="Arial" w:hAnsi="Arial"/>
          <w:sz w:val="21"/>
        </w:rPr>
        <w:t>• Structured data over free text: extraction should normalize RFQ content into fields that can be compared consistently.</w:t>
      </w:r>
    </w:p>
    <w:p>
      <w:pPr>
        <w:ind w:left="259" w:hanging="259"/>
      </w:pPr>
      <w:r>
        <w:rPr>
          <w:rFonts w:ascii="Arial" w:hAnsi="Arial"/>
          <w:sz w:val="21"/>
        </w:rPr>
        <w:t>• Explainable risk flags: outputs must show the reason, expected impact, and recommended follow-up action.</w:t>
      </w:r>
    </w:p>
    <w:p>
      <w:pPr>
        <w:ind w:left="259" w:hanging="259"/>
      </w:pPr>
      <w:r>
        <w:rPr>
          <w:rFonts w:ascii="Arial" w:hAnsi="Arial"/>
          <w:sz w:val="21"/>
        </w:rPr>
        <w:t>• Modular architecture: schema, prompts, and rules should work independently and also as an integrated workflow.</w:t>
      </w:r>
    </w:p>
    <w:p>
      <w:pPr>
        <w:pStyle w:val="Heading1"/>
      </w:pPr>
      <w:r>
        <w:t>3. Detailed Database Structure (SQL Level)</w:t>
      </w:r>
    </w:p>
    <w:p>
      <w:r>
        <w:t>The schema below is designed for PostgreSQL-style SQL, but the logical model can be used in SQL Server or MySQL with minor datatype adjustments. The structure separates RFQ intake data, normalized part attributes, quotation versions, historical benchmarks, and rule-driven findings.</w:t>
      </w:r>
    </w:p>
    <w:p>
      <w:pPr>
        <w:pStyle w:val="Heading2"/>
      </w:pPr>
      <w:r>
        <w:t>3.1 Core Entity Overview</w:t>
      </w:r>
    </w:p>
    <w:tbl>
      <w:tblPr>
        <w:tblStyle w:val="TableGrid"/>
        <w:tblW w:type="auto" w:w="0"/>
        <w:jc w:val="center"/>
        <w:tblLook w:firstColumn="1" w:firstRow="1" w:lastColumn="0" w:lastRow="0" w:noHBand="0" w:noVBand="1" w:val="04A0"/>
      </w:tblPr>
      <w:tblGrid>
        <w:gridCol w:w="2448"/>
        <w:gridCol w:w="3456"/>
        <w:gridCol w:w="5040"/>
      </w:tblGrid>
      <w:tr>
        <w:tc>
          <w:tcPr>
            <w:tcW w:type="dxa" w:w="3264"/>
            <w:vAlign w:val="center"/>
            <w:tcMar>
              <w:top w:w="80" w:type="dxa"/>
              <w:start w:w="100" w:type="dxa"/>
              <w:bottom w:w="80" w:type="dxa"/>
              <w:end w:w="100" w:type="dxa"/>
            </w:tcMar>
            <w:shd w:fill="D9EAF7"/>
          </w:tcPr>
          <w:p>
            <w:pPr>
              <w:spacing w:after="40" w:line="259" w:lineRule="auto"/>
            </w:pPr>
            <w:r>
              <w:rPr>
                <w:rFonts w:ascii="Arial" w:hAnsi="Arial"/>
                <w:b/>
                <w:color w:val="1F4E79"/>
                <w:sz w:val="19"/>
              </w:rPr>
              <w:t>Entity</w:t>
            </w:r>
          </w:p>
        </w:tc>
        <w:tc>
          <w:tcPr>
            <w:tcW w:type="dxa" w:w="3264"/>
            <w:vAlign w:val="center"/>
            <w:tcMar>
              <w:top w:w="80" w:type="dxa"/>
              <w:start w:w="100" w:type="dxa"/>
              <w:bottom w:w="80" w:type="dxa"/>
              <w:end w:w="100" w:type="dxa"/>
            </w:tcMar>
            <w:shd w:fill="D9EAF7"/>
          </w:tcPr>
          <w:p>
            <w:pPr>
              <w:spacing w:after="40" w:line="259" w:lineRule="auto"/>
            </w:pPr>
            <w:r>
              <w:rPr>
                <w:rFonts w:ascii="Arial" w:hAnsi="Arial"/>
                <w:b/>
                <w:color w:val="1F4E79"/>
                <w:sz w:val="19"/>
              </w:rPr>
              <w:t>Purpose</w:t>
            </w:r>
          </w:p>
        </w:tc>
        <w:tc>
          <w:tcPr>
            <w:tcW w:type="dxa" w:w="3264"/>
            <w:vAlign w:val="center"/>
            <w:tcMar>
              <w:top w:w="80" w:type="dxa"/>
              <w:start w:w="100" w:type="dxa"/>
              <w:bottom w:w="80" w:type="dxa"/>
              <w:end w:w="100" w:type="dxa"/>
            </w:tcMar>
            <w:shd w:fill="D9EAF7"/>
          </w:tcPr>
          <w:p>
            <w:pPr>
              <w:spacing w:after="40" w:line="259" w:lineRule="auto"/>
            </w:pPr>
            <w:r>
              <w:rPr>
                <w:rFonts w:ascii="Arial" w:hAnsi="Arial"/>
                <w:b/>
                <w:color w:val="1F4E79"/>
                <w:sz w:val="19"/>
              </w:rPr>
              <w:t>Notes</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customers</w:t>
            </w:r>
          </w:p>
        </w:tc>
        <w:tc>
          <w:tcPr>
            <w:tcW w:type="dxa" w:w="3456"/>
            <w:vAlign w:val="center"/>
            <w:tcMar>
              <w:top w:w="80" w:type="dxa"/>
              <w:start w:w="100" w:type="dxa"/>
              <w:bottom w:w="80" w:type="dxa"/>
              <w:end w:w="100" w:type="dxa"/>
            </w:tcMar>
          </w:tcPr>
          <w:p>
            <w:pPr>
              <w:spacing w:after="40" w:line="259" w:lineRule="auto"/>
            </w:pPr>
            <w:r>
              <w:rPr>
                <w:rFonts w:ascii="Arial" w:hAnsi="Arial"/>
                <w:sz w:val="19"/>
              </w:rPr>
              <w:t>Customer master data</w:t>
            </w:r>
          </w:p>
        </w:tc>
        <w:tc>
          <w:tcPr>
            <w:tcW w:type="dxa" w:w="5040"/>
            <w:vAlign w:val="center"/>
            <w:tcMar>
              <w:top w:w="80" w:type="dxa"/>
              <w:start w:w="100" w:type="dxa"/>
              <w:bottom w:w="80" w:type="dxa"/>
              <w:end w:w="100" w:type="dxa"/>
            </w:tcMar>
          </w:tcPr>
          <w:p>
            <w:pPr>
              <w:spacing w:after="40" w:line="259" w:lineRule="auto"/>
            </w:pPr>
            <w:r>
              <w:rPr>
                <w:rFonts w:ascii="Arial" w:hAnsi="Arial"/>
                <w:sz w:val="19"/>
              </w:rPr>
              <w:t>OEM / Tier 1 / region / commercial defaults</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rfq_packages</w:t>
            </w:r>
          </w:p>
        </w:tc>
        <w:tc>
          <w:tcPr>
            <w:tcW w:type="dxa" w:w="3456"/>
            <w:vAlign w:val="center"/>
            <w:tcMar>
              <w:top w:w="80" w:type="dxa"/>
              <w:start w:w="100" w:type="dxa"/>
              <w:bottom w:w="80" w:type="dxa"/>
              <w:end w:w="100" w:type="dxa"/>
            </w:tcMar>
          </w:tcPr>
          <w:p>
            <w:pPr>
              <w:spacing w:after="40" w:line="259" w:lineRule="auto"/>
            </w:pPr>
            <w:r>
              <w:rPr>
                <w:rFonts w:ascii="Arial" w:hAnsi="Arial"/>
                <w:sz w:val="19"/>
              </w:rPr>
              <w:t>One RFQ package intake record</w:t>
            </w:r>
          </w:p>
        </w:tc>
        <w:tc>
          <w:tcPr>
            <w:tcW w:type="dxa" w:w="5040"/>
            <w:vAlign w:val="center"/>
            <w:tcMar>
              <w:top w:w="80" w:type="dxa"/>
              <w:start w:w="100" w:type="dxa"/>
              <w:bottom w:w="80" w:type="dxa"/>
              <w:end w:w="100" w:type="dxa"/>
            </w:tcMar>
          </w:tcPr>
          <w:p>
            <w:pPr>
              <w:spacing w:after="40" w:line="259" w:lineRule="auto"/>
            </w:pPr>
            <w:r>
              <w:rPr>
                <w:rFonts w:ascii="Arial" w:hAnsi="Arial"/>
                <w:sz w:val="19"/>
              </w:rPr>
              <w:t>Tracks submission window, status, source package</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rfq_documents</w:t>
            </w:r>
          </w:p>
        </w:tc>
        <w:tc>
          <w:tcPr>
            <w:tcW w:type="dxa" w:w="3456"/>
            <w:vAlign w:val="center"/>
            <w:tcMar>
              <w:top w:w="80" w:type="dxa"/>
              <w:start w:w="100" w:type="dxa"/>
              <w:bottom w:w="80" w:type="dxa"/>
              <w:end w:w="100" w:type="dxa"/>
            </w:tcMar>
          </w:tcPr>
          <w:p>
            <w:pPr>
              <w:spacing w:after="40" w:line="259" w:lineRule="auto"/>
            </w:pPr>
            <w:r>
              <w:rPr>
                <w:rFonts w:ascii="Arial" w:hAnsi="Arial"/>
                <w:sz w:val="19"/>
              </w:rPr>
              <w:t>Each file inside an RFQ package</w:t>
            </w:r>
          </w:p>
        </w:tc>
        <w:tc>
          <w:tcPr>
            <w:tcW w:type="dxa" w:w="5040"/>
            <w:vAlign w:val="center"/>
            <w:tcMar>
              <w:top w:w="80" w:type="dxa"/>
              <w:start w:w="100" w:type="dxa"/>
              <w:bottom w:w="80" w:type="dxa"/>
              <w:end w:w="100" w:type="dxa"/>
            </w:tcMar>
          </w:tcPr>
          <w:p>
            <w:pPr>
              <w:spacing w:after="40" w:line="259" w:lineRule="auto"/>
            </w:pPr>
            <w:r>
              <w:rPr>
                <w:rFonts w:ascii="Arial" w:hAnsi="Arial"/>
                <w:sz w:val="19"/>
              </w:rPr>
              <w:t>PDF, Excel, drawing, specs, NDA, packaging docs</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parts</w:t>
            </w:r>
          </w:p>
        </w:tc>
        <w:tc>
          <w:tcPr>
            <w:tcW w:type="dxa" w:w="3456"/>
            <w:vAlign w:val="center"/>
            <w:tcMar>
              <w:top w:w="80" w:type="dxa"/>
              <w:start w:w="100" w:type="dxa"/>
              <w:bottom w:w="80" w:type="dxa"/>
              <w:end w:w="100" w:type="dxa"/>
            </w:tcMar>
          </w:tcPr>
          <w:p>
            <w:pPr>
              <w:spacing w:after="40" w:line="259" w:lineRule="auto"/>
            </w:pPr>
            <w:r>
              <w:rPr>
                <w:rFonts w:ascii="Arial" w:hAnsi="Arial"/>
                <w:sz w:val="19"/>
              </w:rPr>
              <w:t>Normalized part-level record</w:t>
            </w:r>
          </w:p>
        </w:tc>
        <w:tc>
          <w:tcPr>
            <w:tcW w:type="dxa" w:w="5040"/>
            <w:vAlign w:val="center"/>
            <w:tcMar>
              <w:top w:w="80" w:type="dxa"/>
              <w:start w:w="100" w:type="dxa"/>
              <w:bottom w:w="80" w:type="dxa"/>
              <w:end w:w="100" w:type="dxa"/>
            </w:tcMar>
          </w:tcPr>
          <w:p>
            <w:pPr>
              <w:spacing w:after="40" w:line="259" w:lineRule="auto"/>
            </w:pPr>
            <w:r>
              <w:rPr>
                <w:rFonts w:ascii="Arial" w:hAnsi="Arial"/>
                <w:sz w:val="19"/>
              </w:rPr>
              <w:t>One RFQ can include multiple parts</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part_attributes</w:t>
            </w:r>
          </w:p>
        </w:tc>
        <w:tc>
          <w:tcPr>
            <w:tcW w:type="dxa" w:w="3456"/>
            <w:vAlign w:val="center"/>
            <w:tcMar>
              <w:top w:w="80" w:type="dxa"/>
              <w:start w:w="100" w:type="dxa"/>
              <w:bottom w:w="80" w:type="dxa"/>
              <w:end w:w="100" w:type="dxa"/>
            </w:tcMar>
          </w:tcPr>
          <w:p>
            <w:pPr>
              <w:spacing w:after="40" w:line="259" w:lineRule="auto"/>
            </w:pPr>
            <w:r>
              <w:rPr>
                <w:rFonts w:ascii="Arial" w:hAnsi="Arial"/>
                <w:sz w:val="19"/>
              </w:rPr>
              <w:t>Flexible extracted attributes</w:t>
            </w:r>
          </w:p>
        </w:tc>
        <w:tc>
          <w:tcPr>
            <w:tcW w:type="dxa" w:w="5040"/>
            <w:vAlign w:val="center"/>
            <w:tcMar>
              <w:top w:w="80" w:type="dxa"/>
              <w:start w:w="100" w:type="dxa"/>
              <w:bottom w:w="80" w:type="dxa"/>
              <w:end w:w="100" w:type="dxa"/>
            </w:tcMar>
          </w:tcPr>
          <w:p>
            <w:pPr>
              <w:spacing w:after="40" w:line="259" w:lineRule="auto"/>
            </w:pPr>
            <w:r>
              <w:rPr>
                <w:rFonts w:ascii="Arial" w:hAnsi="Arial"/>
                <w:sz w:val="19"/>
              </w:rPr>
              <w:t>Tolerance, finish, PPAP, annual volume, etc.</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quotes</w:t>
            </w:r>
          </w:p>
        </w:tc>
        <w:tc>
          <w:tcPr>
            <w:tcW w:type="dxa" w:w="3456"/>
            <w:vAlign w:val="center"/>
            <w:tcMar>
              <w:top w:w="80" w:type="dxa"/>
              <w:start w:w="100" w:type="dxa"/>
              <w:bottom w:w="80" w:type="dxa"/>
              <w:end w:w="100" w:type="dxa"/>
            </w:tcMar>
          </w:tcPr>
          <w:p>
            <w:pPr>
              <w:spacing w:after="40" w:line="259" w:lineRule="auto"/>
            </w:pPr>
            <w:r>
              <w:rPr>
                <w:rFonts w:ascii="Arial" w:hAnsi="Arial"/>
                <w:sz w:val="19"/>
              </w:rPr>
              <w:t>Commercial quotation header</w:t>
            </w:r>
          </w:p>
        </w:tc>
        <w:tc>
          <w:tcPr>
            <w:tcW w:type="dxa" w:w="5040"/>
            <w:vAlign w:val="center"/>
            <w:tcMar>
              <w:top w:w="80" w:type="dxa"/>
              <w:start w:w="100" w:type="dxa"/>
              <w:bottom w:w="80" w:type="dxa"/>
              <w:end w:w="100" w:type="dxa"/>
            </w:tcMar>
          </w:tcPr>
          <w:p>
            <w:pPr>
              <w:spacing w:after="40" w:line="259" w:lineRule="auto"/>
            </w:pPr>
            <w:r>
              <w:rPr>
                <w:rFonts w:ascii="Arial" w:hAnsi="Arial"/>
                <w:sz w:val="19"/>
              </w:rPr>
              <w:t>One RFQ may have multiple quote revisions</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quote_line_items</w:t>
            </w:r>
          </w:p>
        </w:tc>
        <w:tc>
          <w:tcPr>
            <w:tcW w:type="dxa" w:w="3456"/>
            <w:vAlign w:val="center"/>
            <w:tcMar>
              <w:top w:w="80" w:type="dxa"/>
              <w:start w:w="100" w:type="dxa"/>
              <w:bottom w:w="80" w:type="dxa"/>
              <w:end w:w="100" w:type="dxa"/>
            </w:tcMar>
          </w:tcPr>
          <w:p>
            <w:pPr>
              <w:spacing w:after="40" w:line="259" w:lineRule="auto"/>
            </w:pPr>
            <w:r>
              <w:rPr>
                <w:rFonts w:ascii="Arial" w:hAnsi="Arial"/>
                <w:sz w:val="19"/>
              </w:rPr>
              <w:t>Part-level commercial pricing</w:t>
            </w:r>
          </w:p>
        </w:tc>
        <w:tc>
          <w:tcPr>
            <w:tcW w:type="dxa" w:w="5040"/>
            <w:vAlign w:val="center"/>
            <w:tcMar>
              <w:top w:w="80" w:type="dxa"/>
              <w:start w:w="100" w:type="dxa"/>
              <w:bottom w:w="80" w:type="dxa"/>
              <w:end w:w="100" w:type="dxa"/>
            </w:tcMar>
          </w:tcPr>
          <w:p>
            <w:pPr>
              <w:spacing w:after="40" w:line="259" w:lineRule="auto"/>
            </w:pPr>
            <w:r>
              <w:rPr>
                <w:rFonts w:ascii="Arial" w:hAnsi="Arial"/>
                <w:sz w:val="19"/>
              </w:rPr>
              <w:t>Unit price, tooling, assumptions, lead time</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cost_breakdowns</w:t>
            </w:r>
          </w:p>
        </w:tc>
        <w:tc>
          <w:tcPr>
            <w:tcW w:type="dxa" w:w="3456"/>
            <w:vAlign w:val="center"/>
            <w:tcMar>
              <w:top w:w="80" w:type="dxa"/>
              <w:start w:w="100" w:type="dxa"/>
              <w:bottom w:w="80" w:type="dxa"/>
              <w:end w:w="100" w:type="dxa"/>
            </w:tcMar>
          </w:tcPr>
          <w:p>
            <w:pPr>
              <w:spacing w:after="40" w:line="259" w:lineRule="auto"/>
            </w:pPr>
            <w:r>
              <w:rPr>
                <w:rFonts w:ascii="Arial" w:hAnsi="Arial"/>
                <w:sz w:val="19"/>
              </w:rPr>
              <w:t>Structured cost details</w:t>
            </w:r>
          </w:p>
        </w:tc>
        <w:tc>
          <w:tcPr>
            <w:tcW w:type="dxa" w:w="5040"/>
            <w:vAlign w:val="center"/>
            <w:tcMar>
              <w:top w:w="80" w:type="dxa"/>
              <w:start w:w="100" w:type="dxa"/>
              <w:bottom w:w="80" w:type="dxa"/>
              <w:end w:w="100" w:type="dxa"/>
            </w:tcMar>
          </w:tcPr>
          <w:p>
            <w:pPr>
              <w:spacing w:after="40" w:line="259" w:lineRule="auto"/>
            </w:pPr>
            <w:r>
              <w:rPr>
                <w:rFonts w:ascii="Arial" w:hAnsi="Arial"/>
                <w:sz w:val="19"/>
              </w:rPr>
              <w:t>Material, labor, overhead, scrap, logistics, quality</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historical_projects</w:t>
            </w:r>
          </w:p>
        </w:tc>
        <w:tc>
          <w:tcPr>
            <w:tcW w:type="dxa" w:w="3456"/>
            <w:vAlign w:val="center"/>
            <w:tcMar>
              <w:top w:w="80" w:type="dxa"/>
              <w:start w:w="100" w:type="dxa"/>
              <w:bottom w:w="80" w:type="dxa"/>
              <w:end w:w="100" w:type="dxa"/>
            </w:tcMar>
          </w:tcPr>
          <w:p>
            <w:pPr>
              <w:spacing w:after="40" w:line="259" w:lineRule="auto"/>
            </w:pPr>
            <w:r>
              <w:rPr>
                <w:rFonts w:ascii="Arial" w:hAnsi="Arial"/>
                <w:sz w:val="19"/>
              </w:rPr>
              <w:t>Completed jobs / prior RFQs</w:t>
            </w:r>
          </w:p>
        </w:tc>
        <w:tc>
          <w:tcPr>
            <w:tcW w:type="dxa" w:w="5040"/>
            <w:vAlign w:val="center"/>
            <w:tcMar>
              <w:top w:w="80" w:type="dxa"/>
              <w:start w:w="100" w:type="dxa"/>
              <w:bottom w:w="80" w:type="dxa"/>
              <w:end w:w="100" w:type="dxa"/>
            </w:tcMar>
          </w:tcPr>
          <w:p>
            <w:pPr>
              <w:spacing w:after="40" w:line="259" w:lineRule="auto"/>
            </w:pPr>
            <w:r>
              <w:rPr>
                <w:rFonts w:ascii="Arial" w:hAnsi="Arial"/>
                <w:sz w:val="19"/>
              </w:rPr>
              <w:t>Used for similarity and benchmarking</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gap_findings</w:t>
            </w:r>
          </w:p>
        </w:tc>
        <w:tc>
          <w:tcPr>
            <w:tcW w:type="dxa" w:w="3456"/>
            <w:vAlign w:val="center"/>
            <w:tcMar>
              <w:top w:w="80" w:type="dxa"/>
              <w:start w:w="100" w:type="dxa"/>
              <w:bottom w:w="80" w:type="dxa"/>
              <w:end w:w="100" w:type="dxa"/>
            </w:tcMar>
          </w:tcPr>
          <w:p>
            <w:pPr>
              <w:spacing w:after="40" w:line="259" w:lineRule="auto"/>
            </w:pPr>
            <w:r>
              <w:rPr>
                <w:rFonts w:ascii="Arial" w:hAnsi="Arial"/>
                <w:sz w:val="19"/>
              </w:rPr>
              <w:t>Detected review findings</w:t>
            </w:r>
          </w:p>
        </w:tc>
        <w:tc>
          <w:tcPr>
            <w:tcW w:type="dxa" w:w="5040"/>
            <w:vAlign w:val="center"/>
            <w:tcMar>
              <w:top w:w="80" w:type="dxa"/>
              <w:start w:w="100" w:type="dxa"/>
              <w:bottom w:w="80" w:type="dxa"/>
              <w:end w:w="100" w:type="dxa"/>
            </w:tcMar>
          </w:tcPr>
          <w:p>
            <w:pPr>
              <w:spacing w:after="40" w:line="259" w:lineRule="auto"/>
            </w:pPr>
            <w:r>
              <w:rPr>
                <w:rFonts w:ascii="Arial" w:hAnsi="Arial"/>
                <w:sz w:val="19"/>
              </w:rPr>
              <w:t>Missing input, risk, mismatch, cost omission</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rules</w:t>
            </w:r>
          </w:p>
        </w:tc>
        <w:tc>
          <w:tcPr>
            <w:tcW w:type="dxa" w:w="3456"/>
            <w:vAlign w:val="center"/>
            <w:tcMar>
              <w:top w:w="80" w:type="dxa"/>
              <w:start w:w="100" w:type="dxa"/>
              <w:bottom w:w="80" w:type="dxa"/>
              <w:end w:w="100" w:type="dxa"/>
            </w:tcMar>
          </w:tcPr>
          <w:p>
            <w:pPr>
              <w:spacing w:after="40" w:line="259" w:lineRule="auto"/>
            </w:pPr>
            <w:r>
              <w:rPr>
                <w:rFonts w:ascii="Arial" w:hAnsi="Arial"/>
                <w:sz w:val="19"/>
              </w:rPr>
              <w:t>Rule library master</w:t>
            </w:r>
          </w:p>
        </w:tc>
        <w:tc>
          <w:tcPr>
            <w:tcW w:type="dxa" w:w="5040"/>
            <w:vAlign w:val="center"/>
            <w:tcMar>
              <w:top w:w="80" w:type="dxa"/>
              <w:start w:w="100" w:type="dxa"/>
              <w:bottom w:w="80" w:type="dxa"/>
              <w:end w:w="100" w:type="dxa"/>
            </w:tcMar>
          </w:tcPr>
          <w:p>
            <w:pPr>
              <w:spacing w:after="40" w:line="259" w:lineRule="auto"/>
            </w:pPr>
            <w:r>
              <w:rPr>
                <w:rFonts w:ascii="Arial" w:hAnsi="Arial"/>
                <w:sz w:val="19"/>
              </w:rPr>
              <w:t>Gap and risk rules with thresholds and severities</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rule_hits</w:t>
            </w:r>
          </w:p>
        </w:tc>
        <w:tc>
          <w:tcPr>
            <w:tcW w:type="dxa" w:w="3456"/>
            <w:vAlign w:val="center"/>
            <w:tcMar>
              <w:top w:w="80" w:type="dxa"/>
              <w:start w:w="100" w:type="dxa"/>
              <w:bottom w:w="80" w:type="dxa"/>
              <w:end w:w="100" w:type="dxa"/>
            </w:tcMar>
          </w:tcPr>
          <w:p>
            <w:pPr>
              <w:spacing w:after="40" w:line="259" w:lineRule="auto"/>
            </w:pPr>
            <w:r>
              <w:rPr>
                <w:rFonts w:ascii="Arial" w:hAnsi="Arial"/>
                <w:sz w:val="19"/>
              </w:rPr>
              <w:t>Each rule triggered per RFQ / part / quote</w:t>
            </w:r>
          </w:p>
        </w:tc>
        <w:tc>
          <w:tcPr>
            <w:tcW w:type="dxa" w:w="5040"/>
            <w:vAlign w:val="center"/>
            <w:tcMar>
              <w:top w:w="80" w:type="dxa"/>
              <w:start w:w="100" w:type="dxa"/>
              <w:bottom w:w="80" w:type="dxa"/>
              <w:end w:w="100" w:type="dxa"/>
            </w:tcMar>
          </w:tcPr>
          <w:p>
            <w:pPr>
              <w:spacing w:after="40" w:line="259" w:lineRule="auto"/>
            </w:pPr>
            <w:r>
              <w:rPr>
                <w:rFonts w:ascii="Arial" w:hAnsi="Arial"/>
                <w:sz w:val="19"/>
              </w:rPr>
              <w:t>Stores evidence, impact, recommendation</w:t>
            </w:r>
          </w:p>
        </w:tc>
      </w:tr>
      <w:tr>
        <w:tc>
          <w:tcPr>
            <w:tcW w:type="dxa" w:w="2448"/>
            <w:vAlign w:val="center"/>
            <w:tcMar>
              <w:top w:w="80" w:type="dxa"/>
              <w:start w:w="100" w:type="dxa"/>
              <w:bottom w:w="80" w:type="dxa"/>
              <w:end w:w="100" w:type="dxa"/>
            </w:tcMar>
          </w:tcPr>
          <w:p>
            <w:pPr>
              <w:spacing w:after="40" w:line="259" w:lineRule="auto"/>
            </w:pPr>
            <w:r>
              <w:rPr>
                <w:rFonts w:ascii="Arial" w:hAnsi="Arial"/>
                <w:sz w:val="19"/>
              </w:rPr>
              <w:t>submission_outcomes</w:t>
            </w:r>
          </w:p>
        </w:tc>
        <w:tc>
          <w:tcPr>
            <w:tcW w:type="dxa" w:w="3456"/>
            <w:vAlign w:val="center"/>
            <w:tcMar>
              <w:top w:w="80" w:type="dxa"/>
              <w:start w:w="100" w:type="dxa"/>
              <w:bottom w:w="80" w:type="dxa"/>
              <w:end w:w="100" w:type="dxa"/>
            </w:tcMar>
          </w:tcPr>
          <w:p>
            <w:pPr>
              <w:spacing w:after="40" w:line="259" w:lineRule="auto"/>
            </w:pPr>
            <w:r>
              <w:rPr>
                <w:rFonts w:ascii="Arial" w:hAnsi="Arial"/>
                <w:sz w:val="19"/>
              </w:rPr>
              <w:t>Award / loss / margin outcome</w:t>
            </w:r>
          </w:p>
        </w:tc>
        <w:tc>
          <w:tcPr>
            <w:tcW w:type="dxa" w:w="5040"/>
            <w:vAlign w:val="center"/>
            <w:tcMar>
              <w:top w:w="80" w:type="dxa"/>
              <w:start w:w="100" w:type="dxa"/>
              <w:bottom w:w="80" w:type="dxa"/>
              <w:end w:w="100" w:type="dxa"/>
            </w:tcMar>
          </w:tcPr>
          <w:p>
            <w:pPr>
              <w:spacing w:after="40" w:line="259" w:lineRule="auto"/>
            </w:pPr>
            <w:r>
              <w:rPr>
                <w:rFonts w:ascii="Arial" w:hAnsi="Arial"/>
                <w:sz w:val="19"/>
              </w:rPr>
              <w:t>Enables learning from result data</w:t>
            </w:r>
          </w:p>
        </w:tc>
      </w:tr>
    </w:tbl>
    <w:p>
      <w:pPr>
        <w:pStyle w:val="Heading2"/>
      </w:pPr>
      <w:r>
        <w:t>3.2 SQL DDL - Master Tables</w:t>
      </w:r>
    </w:p>
    <w:p>
      <w:pPr>
        <w:pStyle w:val="Code"/>
        <w:spacing w:after="100"/>
      </w:pPr>
      <w:r>
        <w:t>CREATE TABLE customers (</w:t>
        <w:br/>
      </w:r>
      <w:r>
        <w:t xml:space="preserve">    customer_id          BIGSERIAL PRIMARY KEY,</w:t>
        <w:br/>
      </w:r>
      <w:r>
        <w:t xml:space="preserve">    customer_code        VARCHAR(50) UNIQUE NOT NULL,</w:t>
        <w:br/>
      </w:r>
      <w:r>
        <w:t xml:space="preserve">    customer_name        VARCHAR(255) NOT NULL,</w:t>
        <w:br/>
      </w:r>
      <w:r>
        <w:t xml:space="preserve">    customer_type        VARCHAR(50),          -- OEM / Tier1 / Tier2</w:t>
        <w:br/>
      </w:r>
      <w:r>
        <w:t xml:space="preserve">    region               VARCHAR(100),</w:t>
        <w:br/>
      </w:r>
      <w:r>
        <w:t xml:space="preserve">    country              VARCHAR(100),</w:t>
        <w:br/>
      </w:r>
      <w:r>
        <w:t xml:space="preserve">    default_currency     VARCHAR(10),</w:t>
        <w:br/>
      </w:r>
      <w:r>
        <w:t xml:space="preserve">    default_incoterm     VARCHAR(20),</w:t>
        <w:br/>
      </w:r>
      <w:r>
        <w:t xml:space="preserve">    payment_terms_days   INTEGER,</w:t>
        <w:br/>
      </w:r>
      <w:r>
        <w:t xml:space="preserve">    active_flag          BOOLEAN DEFAULT TRUE,</w:t>
        <w:br/>
      </w:r>
      <w:r>
        <w:t xml:space="preserve">    created_at           TIMESTAMP DEFAULT CURRENT_TIMESTAMP,</w:t>
        <w:br/>
      </w:r>
      <w:r>
        <w:t xml:space="preserve">    updated_at           TIMESTAMP DEFAULT CURRENT_TIMESTAMP</w:t>
        <w:br/>
      </w:r>
      <w:r>
        <w:t>);</w:t>
        <w:br/>
      </w:r>
    </w:p>
    <w:p>
      <w:pPr>
        <w:pStyle w:val="Code"/>
        <w:spacing w:after="100"/>
      </w:pPr>
      <w:r>
        <w:t>CREATE TABLE rfq_packages (</w:t>
        <w:br/>
      </w:r>
      <w:r>
        <w:t xml:space="preserve">    rfq_id                    BIGSERIAL PRIMARY KEY,</w:t>
        <w:br/>
      </w:r>
      <w:r>
        <w:t xml:space="preserve">    customer_id               BIGINT REFERENCES customers(customer_id),</w:t>
        <w:br/>
      </w:r>
      <w:r>
        <w:t xml:space="preserve">    rfq_number                VARCHAR(100),</w:t>
        <w:br/>
      </w:r>
      <w:r>
        <w:t xml:space="preserve">    rfq_title                 VARCHAR(255),</w:t>
        <w:br/>
      </w:r>
      <w:r>
        <w:t xml:space="preserve">    sourcing_program          VARCHAR(255),</w:t>
        <w:br/>
      </w:r>
      <w:r>
        <w:t xml:space="preserve">    source_channel            VARCHAR(50),     -- email / portal / manual upload</w:t>
        <w:br/>
      </w:r>
      <w:r>
        <w:t xml:space="preserve">    issue_date                DATE,</w:t>
        <w:br/>
      </w:r>
      <w:r>
        <w:t xml:space="preserve">    quote_due_date            DATE,</w:t>
        <w:br/>
      </w:r>
      <w:r>
        <w:t xml:space="preserve">    sop_date                  DATE,</w:t>
        <w:br/>
      </w:r>
      <w:r>
        <w:t xml:space="preserve">    eop_date                  DATE,</w:t>
        <w:br/>
      </w:r>
      <w:r>
        <w:t xml:space="preserve">    package_status            VARCHAR(50),     -- new / parsing / review / quoted / submitted / closed</w:t>
        <w:br/>
      </w:r>
      <w:r>
        <w:t xml:space="preserve">    buyer_name                VARCHAR(255),</w:t>
        <w:br/>
      </w:r>
      <w:r>
        <w:t xml:space="preserve">    buyer_email               VARCHAR(255),</w:t>
        <w:br/>
      </w:r>
      <w:r>
        <w:t xml:space="preserve">    currency                  VARCHAR(10),</w:t>
        <w:br/>
      </w:r>
      <w:r>
        <w:t xml:space="preserve">    notes                     TEXT,</w:t>
        <w:br/>
      </w:r>
      <w:r>
        <w:t xml:space="preserve">    created_at                TIMESTAMP DEFAULT CURRENT_TIMESTAMP,</w:t>
        <w:br/>
      </w:r>
      <w:r>
        <w:t xml:space="preserve">    updated_at                TIMESTAMP DEFAULT CURRENT_TIMESTAMP</w:t>
        <w:br/>
      </w:r>
      <w:r>
        <w:t>);</w:t>
        <w:br/>
      </w:r>
    </w:p>
    <w:p>
      <w:pPr>
        <w:pStyle w:val="Code"/>
        <w:spacing w:after="100"/>
      </w:pPr>
      <w:r>
        <w:t>CREATE TABLE rfq_documents (</w:t>
        <w:br/>
      </w:r>
      <w:r>
        <w:t xml:space="preserve">    document_id               BIGSERIAL PRIMARY KEY,</w:t>
        <w:br/>
      </w:r>
      <w:r>
        <w:t xml:space="preserve">    rfq_id                    BIGINT NOT NULL REFERENCES rfq_packages(rfq_id) ON DELETE CASCADE,</w:t>
        <w:br/>
      </w:r>
      <w:r>
        <w:t xml:space="preserve">    document_type             VARCHAR(50),     -- drawing / spec / cost_template / nda / packaging / test_spec</w:t>
        <w:br/>
      </w:r>
      <w:r>
        <w:t xml:space="preserve">    file_name                 VARCHAR(255) NOT NULL,</w:t>
        <w:br/>
      </w:r>
      <w:r>
        <w:t xml:space="preserve">    file_path                 TEXT,</w:t>
        <w:br/>
      </w:r>
      <w:r>
        <w:t xml:space="preserve">    file_hash                 VARCHAR(128),</w:t>
        <w:br/>
      </w:r>
      <w:r>
        <w:t xml:space="preserve">    mime_type                 VARCHAR(100),</w:t>
        <w:br/>
      </w:r>
      <w:r>
        <w:t xml:space="preserve">    version_label             VARCHAR(50),</w:t>
        <w:br/>
      </w:r>
      <w:r>
        <w:t xml:space="preserve">    parsed_flag               BOOLEAN DEFAULT FALSE,</w:t>
        <w:br/>
      </w:r>
      <w:r>
        <w:t xml:space="preserve">    parser_status             VARCHAR(50),</w:t>
        <w:br/>
      </w:r>
      <w:r>
        <w:t xml:space="preserve">    extracted_text            TEXT,</w:t>
        <w:br/>
      </w:r>
      <w:r>
        <w:t xml:space="preserve">    created_at                TIMESTAMP DEFAULT CURRENT_TIMESTAMP</w:t>
        <w:br/>
      </w:r>
      <w:r>
        <w:t>);</w:t>
        <w:br/>
      </w:r>
    </w:p>
    <w:p>
      <w:pPr>
        <w:pStyle w:val="Code"/>
        <w:spacing w:after="100"/>
      </w:pPr>
      <w:r>
        <w:t>CREATE TABLE parts (</w:t>
        <w:br/>
      </w:r>
      <w:r>
        <w:t xml:space="preserve">    part_id                    BIGSERIAL PRIMARY KEY,</w:t>
        <w:br/>
      </w:r>
      <w:r>
        <w:t xml:space="preserve">    rfq_id                     BIGINT NOT NULL REFERENCES rfq_packages(rfq_id) ON DELETE CASCADE,</w:t>
        <w:br/>
      </w:r>
      <w:r>
        <w:t xml:space="preserve">    customer_part_number       VARCHAR(100),</w:t>
        <w:br/>
      </w:r>
      <w:r>
        <w:t xml:space="preserve">    supplier_part_number       VARCHAR(100),</w:t>
        <w:br/>
      </w:r>
      <w:r>
        <w:t xml:space="preserve">    part_name                  VARCHAR(255),</w:t>
        <w:br/>
      </w:r>
      <w:r>
        <w:t xml:space="preserve">    part_family                VARCHAR(100),    -- stamping / injection / machining / assembly</w:t>
        <w:br/>
      </w:r>
      <w:r>
        <w:t xml:space="preserve">    drawing_number             VARCHAR(100),</w:t>
        <w:br/>
      </w:r>
      <w:r>
        <w:t xml:space="preserve">    revision_level             VARCHAR(50),</w:t>
        <w:br/>
      </w:r>
      <w:r>
        <w:t xml:space="preserve">    material_spec              VARCHAR(255),</w:t>
        <w:br/>
      </w:r>
      <w:r>
        <w:t xml:space="preserve">    annual_volume              NUMERIC(18,2),</w:t>
        <w:br/>
      </w:r>
      <w:r>
        <w:t xml:space="preserve">    lifetime_volume            NUMERIC(18,2),</w:t>
        <w:br/>
      </w:r>
      <w:r>
        <w:t xml:space="preserve">    target_weight_kg           NUMERIC(18,4),</w:t>
        <w:br/>
      </w:r>
      <w:r>
        <w:t xml:space="preserve">    complexity_score           NUMERIC(8,2),</w:t>
        <w:br/>
      </w:r>
      <w:r>
        <w:t xml:space="preserve">    status                     VARCHAR(50) DEFAULT 'active',</w:t>
        <w:br/>
      </w:r>
      <w:r>
        <w:t xml:space="preserve">    created_at                 TIMESTAMP DEFAULT CURRENT_TIMESTAMP</w:t>
        <w:br/>
      </w:r>
      <w:r>
        <w:t>);</w:t>
        <w:br/>
      </w:r>
    </w:p>
    <w:p>
      <w:pPr>
        <w:pStyle w:val="Code"/>
        <w:spacing w:after="100"/>
      </w:pPr>
      <w:r>
        <w:t>CREATE TABLE part_attributes (</w:t>
        <w:br/>
      </w:r>
      <w:r>
        <w:t xml:space="preserve">    attribute_id               BIGSERIAL PRIMARY KEY,</w:t>
        <w:br/>
      </w:r>
      <w:r>
        <w:t xml:space="preserve">    part_id                    BIGINT NOT NULL REFERENCES parts(part_id) ON DELETE CASCADE,</w:t>
        <w:br/>
      </w:r>
      <w:r>
        <w:t xml:space="preserve">    attribute_name             VARCHAR(100) NOT NULL,</w:t>
        <w:br/>
      </w:r>
      <w:r>
        <w:t xml:space="preserve">    attribute_value_text       TEXT,</w:t>
        <w:br/>
      </w:r>
      <w:r>
        <w:t xml:space="preserve">    attribute_value_num        NUMERIC(18,4),</w:t>
        <w:br/>
      </w:r>
      <w:r>
        <w:t xml:space="preserve">    unit_of_measure            VARCHAR(50),</w:t>
        <w:br/>
      </w:r>
      <w:r>
        <w:t xml:space="preserve">    source_document_id         BIGINT REFERENCES rfq_documents(document_id),</w:t>
        <w:br/>
      </w:r>
      <w:r>
        <w:t xml:space="preserve">    confidence_score           NUMERIC(5,4),</w:t>
        <w:br/>
      </w:r>
      <w:r>
        <w:t xml:space="preserve">    extracted_by               VARCHAR(50),      -- rule / llm / manual</w:t>
        <w:br/>
      </w:r>
      <w:r>
        <w:t xml:space="preserve">    created_at                 TIMESTAMP DEFAULT CURRENT_TIMESTAMP</w:t>
        <w:br/>
      </w:r>
      <w:r>
        <w:t>);</w:t>
        <w:br/>
      </w:r>
    </w:p>
    <w:p>
      <w:pPr>
        <w:pStyle w:val="Heading2"/>
      </w:pPr>
      <w:r>
        <w:t>3.3 SQL DDL - Quotation and Cost Tables</w:t>
      </w:r>
    </w:p>
    <w:p>
      <w:pPr>
        <w:pStyle w:val="Code"/>
      </w:pPr>
      <w:r>
        <w:t>CREATE TABLE quotes (</w:t>
        <w:br/>
      </w:r>
      <w:r>
        <w:t xml:space="preserve">    quote_id                   BIGSERIAL PRIMARY KEY,</w:t>
        <w:br/>
      </w:r>
      <w:r>
        <w:t xml:space="preserve">    rfq_id                     BIGINT NOT NULL REFERENCES rfq_packages(rfq_id) ON DELETE CASCADE,</w:t>
        <w:br/>
      </w:r>
      <w:r>
        <w:t xml:space="preserve">    quote_version              INTEGER NOT NULL,</w:t>
        <w:br/>
      </w:r>
      <w:r>
        <w:t xml:space="preserve">    quote_status               VARCHAR(50),      -- draft / internal_review / approved / submitted</w:t>
        <w:br/>
      </w:r>
      <w:r>
        <w:t xml:space="preserve">    prepared_by                VARCHAR(255),</w:t>
        <w:br/>
      </w:r>
      <w:r>
        <w:t xml:space="preserve">    reviewed_by                VARCHAR(255),</w:t>
        <w:br/>
      </w:r>
      <w:r>
        <w:t xml:space="preserve">    submitted_date             DATE,</w:t>
        <w:br/>
      </w:r>
      <w:r>
        <w:t xml:space="preserve">    validity_days              INTEGER,</w:t>
        <w:br/>
      </w:r>
      <w:r>
        <w:t xml:space="preserve">    annual_price_down_pct      NUMERIC(8,4),</w:t>
        <w:br/>
      </w:r>
      <w:r>
        <w:t xml:space="preserve">    payment_terms_days         INTEGER,</w:t>
        <w:br/>
      </w:r>
      <w:r>
        <w:t xml:space="preserve">    incoterm                   VARCHAR(20),</w:t>
        <w:br/>
      </w:r>
      <w:r>
        <w:t xml:space="preserve">    logistics_mode             VARCHAR(50),</w:t>
        <w:br/>
      </w:r>
      <w:r>
        <w:t xml:space="preserve">    overall_risk_score         NUMERIC(8,2),</w:t>
        <w:br/>
      </w:r>
      <w:r>
        <w:t xml:space="preserve">    total_tooling_cost         NUMERIC(18,2),</w:t>
        <w:br/>
      </w:r>
      <w:r>
        <w:t xml:space="preserve">    total_quote_value          NUMERIC(18,2),</w:t>
        <w:br/>
      </w:r>
      <w:r>
        <w:t xml:space="preserve">    assumptions_text           TEXT,</w:t>
        <w:br/>
      </w:r>
      <w:r>
        <w:t xml:space="preserve">    created_at                 TIMESTAMP DEFAULT CURRENT_TIMESTAMP,</w:t>
        <w:br/>
      </w:r>
      <w:r>
        <w:t xml:space="preserve">    UNIQUE (rfq_id, quote_version)</w:t>
        <w:br/>
      </w:r>
      <w:r>
        <w:t>);</w:t>
        <w:br/>
      </w:r>
    </w:p>
    <w:p>
      <w:pPr>
        <w:pStyle w:val="Code"/>
      </w:pPr>
      <w:r>
        <w:t>CREATE TABLE quote_line_items (</w:t>
        <w:br/>
      </w:r>
      <w:r>
        <w:t xml:space="preserve">    quote_line_id              BIGSERIAL PRIMARY KEY,</w:t>
        <w:br/>
      </w:r>
      <w:r>
        <w:t xml:space="preserve">    quote_id                   BIGINT NOT NULL REFERENCES quotes(quote_id) ON DELETE CASCADE,</w:t>
        <w:br/>
      </w:r>
      <w:r>
        <w:t xml:space="preserve">    part_id                    BIGINT NOT NULL REFERENCES parts(part_id) ON DELETE CASCADE,</w:t>
        <w:br/>
      </w:r>
      <w:r>
        <w:t xml:space="preserve">    plant_code                 VARCHAR(50),</w:t>
        <w:br/>
      </w:r>
      <w:r>
        <w:t xml:space="preserve">    quoted_unit_price          NUMERIC(18,4),</w:t>
        <w:br/>
      </w:r>
      <w:r>
        <w:t xml:space="preserve">    quoted_currency            VARCHAR(10),</w:t>
        <w:br/>
      </w:r>
      <w:r>
        <w:t xml:space="preserve">    tooling_cost               NUMERIC(18,2),</w:t>
        <w:br/>
      </w:r>
      <w:r>
        <w:t xml:space="preserve">    fixture_cost               NUMERIC(18,2),</w:t>
        <w:br/>
      </w:r>
      <w:r>
        <w:t xml:space="preserve">    packaging_cost_per_pc      NUMERIC(18,4),</w:t>
        <w:br/>
      </w:r>
      <w:r>
        <w:t xml:space="preserve">    logistics_cost_per_pc      NUMERIC(18,4),</w:t>
        <w:br/>
      </w:r>
      <w:r>
        <w:t xml:space="preserve">    quality_cost_per_pc        NUMERIC(18,4),</w:t>
        <w:br/>
      </w:r>
      <w:r>
        <w:t xml:space="preserve">    capex_cost                 NUMERIC(18,2),</w:t>
        <w:br/>
      </w:r>
      <w:r>
        <w:t xml:space="preserve">    lead_time_weeks            NUMERIC(8,2),</w:t>
        <w:br/>
      </w:r>
      <w:r>
        <w:t xml:space="preserve">    moq                        NUMERIC(18,2),</w:t>
        <w:br/>
      </w:r>
      <w:r>
        <w:t xml:space="preserve">    capacity_per_year          NUMERIC(18,2),</w:t>
        <w:br/>
      </w:r>
      <w:r>
        <w:t xml:space="preserve">    gross_margin_pct           NUMERIC(8,4),</w:t>
        <w:br/>
      </w:r>
      <w:r>
        <w:t xml:space="preserve">    quote_notes                TEXT</w:t>
        <w:br/>
      </w:r>
      <w:r>
        <w:t>);</w:t>
        <w:br/>
      </w:r>
    </w:p>
    <w:p>
      <w:pPr>
        <w:pStyle w:val="Code"/>
      </w:pPr>
      <w:r>
        <w:t>CREATE TABLE cost_breakdowns (</w:t>
        <w:br/>
      </w:r>
      <w:r>
        <w:t xml:space="preserve">    cost_breakdown_id          BIGSERIAL PRIMARY KEY,</w:t>
        <w:br/>
      </w:r>
      <w:r>
        <w:t xml:space="preserve">    quote_line_id              BIGINT NOT NULL REFERENCES quote_line_items(quote_line_id) ON DELETE CASCADE,</w:t>
        <w:br/>
      </w:r>
      <w:r>
        <w:t xml:space="preserve">    material_cost_per_pc       NUMERIC(18,4),</w:t>
        <w:br/>
      </w:r>
      <w:r>
        <w:t xml:space="preserve">    conversion_cost_per_pc     NUMERIC(18,4),</w:t>
        <w:br/>
      </w:r>
      <w:r>
        <w:t xml:space="preserve">    labor_cost_per_pc          NUMERIC(18,4),</w:t>
        <w:br/>
      </w:r>
      <w:r>
        <w:t xml:space="preserve">    machine_cost_per_pc        NUMERIC(18,4),</w:t>
        <w:br/>
      </w:r>
      <w:r>
        <w:t xml:space="preserve">    overhead_cost_per_pc       NUMERIC(18,4),</w:t>
        <w:br/>
      </w:r>
      <w:r>
        <w:t xml:space="preserve">    scrap_rate_pct             NUMERIC(8,4),</w:t>
        <w:br/>
      </w:r>
      <w:r>
        <w:t xml:space="preserve">    scrap_cost_per_pc          NUMERIC(18,4),</w:t>
        <w:br/>
      </w:r>
      <w:r>
        <w:t xml:space="preserve">    quality_cost_per_pc        NUMERIC(18,4),</w:t>
        <w:br/>
      </w:r>
      <w:r>
        <w:t xml:space="preserve">    packaging_cost_per_pc      NUMERIC(18,4),</w:t>
        <w:br/>
      </w:r>
      <w:r>
        <w:t xml:space="preserve">    logistics_cost_per_pc      NUMERIC(18,4),</w:t>
        <w:br/>
      </w:r>
      <w:r>
        <w:t xml:space="preserve">    warranty_cost_per_pc       NUMERIC(18,4),</w:t>
        <w:br/>
      </w:r>
      <w:r>
        <w:t xml:space="preserve">    other_cost_per_pc          NUMERIC(18,4),</w:t>
        <w:br/>
      </w:r>
      <w:r>
        <w:t xml:space="preserve">    target_margin_pct          NUMERIC(8,4),</w:t>
        <w:br/>
      </w:r>
      <w:r>
        <w:t xml:space="preserve">    created_at                 TIMESTAMP DEFAULT CURRENT_TIMESTAMP</w:t>
        <w:br/>
      </w:r>
      <w:r>
        <w:t>);</w:t>
        <w:br/>
      </w:r>
    </w:p>
    <w:p>
      <w:pPr>
        <w:pStyle w:val="Heading2"/>
      </w:pPr>
      <w:r>
        <w:t>3.4 SQL DDL - Historical Learning, Rules, and Findings</w:t>
      </w:r>
    </w:p>
    <w:p>
      <w:pPr>
        <w:pStyle w:val="Code"/>
      </w:pPr>
      <w:r>
        <w:t>CREATE TABLE historical_projects (</w:t>
        <w:br/>
      </w:r>
      <w:r>
        <w:t xml:space="preserve">    historical_project_id      BIGSERIAL PRIMARY KEY,</w:t>
        <w:br/>
      </w:r>
      <w:r>
        <w:t xml:space="preserve">    source_quote_line_id       BIGINT,</w:t>
        <w:br/>
      </w:r>
      <w:r>
        <w:t xml:space="preserve">    customer_id                BIGINT REFERENCES customers(customer_id),</w:t>
        <w:br/>
      </w:r>
      <w:r>
        <w:t xml:space="preserve">    project_code               VARCHAR(100),</w:t>
        <w:br/>
      </w:r>
      <w:r>
        <w:t xml:space="preserve">    part_family                VARCHAR(100),</w:t>
        <w:br/>
      </w:r>
      <w:r>
        <w:t xml:space="preserve">    part_name                  VARCHAR(255),</w:t>
        <w:br/>
      </w:r>
      <w:r>
        <w:t xml:space="preserve">    material_spec              VARCHAR(255),</w:t>
        <w:br/>
      </w:r>
      <w:r>
        <w:t xml:space="preserve">    annual_volume              NUMERIC(18,2),</w:t>
        <w:br/>
      </w:r>
      <w:r>
        <w:t xml:space="preserve">    process_route              TEXT,</w:t>
        <w:br/>
      </w:r>
      <w:r>
        <w:t xml:space="preserve">    ppap_level                 VARCHAR(20),</w:t>
        <w:br/>
      </w:r>
      <w:r>
        <w:t xml:space="preserve">    tolerance_class            VARCHAR(50),</w:t>
        <w:br/>
      </w:r>
      <w:r>
        <w:t xml:space="preserve">    packaging_type             VARCHAR(100),</w:t>
        <w:br/>
      </w:r>
      <w:r>
        <w:t xml:space="preserve">    awarded_flag               BOOLEAN,</w:t>
        <w:br/>
      </w:r>
      <w:r>
        <w:t xml:space="preserve">    realized_margin_pct        NUMERIC(8,4),</w:t>
        <w:br/>
      </w:r>
      <w:r>
        <w:t xml:space="preserve">    launch_year                INTEGER,</w:t>
        <w:br/>
      </w:r>
      <w:r>
        <w:t xml:space="preserve">    lessons_learned            TEXT,</w:t>
        <w:br/>
      </w:r>
      <w:r>
        <w:t xml:space="preserve">    created_at                 TIMESTAMP DEFAULT CURRENT_TIMESTAMP</w:t>
        <w:br/>
      </w:r>
      <w:r>
        <w:t>);</w:t>
        <w:br/>
      </w:r>
    </w:p>
    <w:p>
      <w:pPr>
        <w:pStyle w:val="Code"/>
      </w:pPr>
      <w:r>
        <w:t>CREATE TABLE rules (</w:t>
        <w:br/>
      </w:r>
      <w:r>
        <w:t xml:space="preserve">    rule_id                    BIGSERIAL PRIMARY KEY,</w:t>
        <w:br/>
      </w:r>
      <w:r>
        <w:t xml:space="preserve">    rule_code                  VARCHAR(50) UNIQUE NOT NULL,</w:t>
        <w:br/>
      </w:r>
      <w:r>
        <w:t xml:space="preserve">    rule_name                  VARCHAR(255) NOT NULL,</w:t>
        <w:br/>
      </w:r>
      <w:r>
        <w:t xml:space="preserve">    rule_category              VARCHAR(50),      -- completeness / technical / commercial / quality / logistics</w:t>
        <w:br/>
      </w:r>
      <w:r>
        <w:t xml:space="preserve">    severity                   VARCHAR(20),      -- low / medium / high / critical</w:t>
        <w:br/>
      </w:r>
      <w:r>
        <w:t xml:space="preserve">    trigger_logic              TEXT NOT NULL,</w:t>
        <w:br/>
      </w:r>
      <w:r>
        <w:t xml:space="preserve">    expected_impact            TEXT,</w:t>
        <w:br/>
      </w:r>
      <w:r>
        <w:t xml:space="preserve">    recommended_action         TEXT,</w:t>
        <w:br/>
      </w:r>
      <w:r>
        <w:t xml:space="preserve">    active_flag                BOOLEAN DEFAULT TRUE,</w:t>
        <w:br/>
      </w:r>
      <w:r>
        <w:t xml:space="preserve">    created_at                 TIMESTAMP DEFAULT CURRENT_TIMESTAMP</w:t>
        <w:br/>
      </w:r>
      <w:r>
        <w:t>);</w:t>
        <w:br/>
      </w:r>
    </w:p>
    <w:p>
      <w:pPr>
        <w:pStyle w:val="Code"/>
      </w:pPr>
      <w:r>
        <w:t>CREATE TABLE gap_findings (</w:t>
        <w:br/>
      </w:r>
      <w:r>
        <w:t xml:space="preserve">    finding_id                 BIGSERIAL PRIMARY KEY,</w:t>
        <w:br/>
      </w:r>
      <w:r>
        <w:t xml:space="preserve">    rfq_id                     BIGINT NOT NULL REFERENCES rfq_packages(rfq_id) ON DELETE CASCADE,</w:t>
        <w:br/>
      </w:r>
      <w:r>
        <w:t xml:space="preserve">    part_id                    BIGINT REFERENCES parts(part_id),</w:t>
        <w:br/>
      </w:r>
      <w:r>
        <w:t xml:space="preserve">    quote_id                   BIGINT REFERENCES quotes(quote_id),</w:t>
        <w:br/>
      </w:r>
      <w:r>
        <w:t xml:space="preserve">    finding_type               VARCHAR(50),      -- missing_doc / missing_cost / technical_risk / benchmark_gap</w:t>
        <w:br/>
      </w:r>
      <w:r>
        <w:t xml:space="preserve">    severity                   VARCHAR(20),</w:t>
        <w:br/>
      </w:r>
      <w:r>
        <w:t xml:space="preserve">    title                      VARCHAR(255),</w:t>
        <w:br/>
      </w:r>
      <w:r>
        <w:t xml:space="preserve">    finding_detail             TEXT,</w:t>
        <w:br/>
      </w:r>
      <w:r>
        <w:t xml:space="preserve">    probable_cost_impact       NUMERIC(18,4),</w:t>
        <w:br/>
      </w:r>
      <w:r>
        <w:t xml:space="preserve">    probable_margin_impact_pct NUMERIC(8,4),</w:t>
        <w:br/>
      </w:r>
      <w:r>
        <w:t xml:space="preserve">    evidence_reference         TEXT,</w:t>
        <w:br/>
      </w:r>
      <w:r>
        <w:t xml:space="preserve">    status                     VARCHAR(50) DEFAULT 'open',</w:t>
        <w:br/>
      </w:r>
      <w:r>
        <w:t xml:space="preserve">    created_at                 TIMESTAMP DEFAULT CURRENT_TIMESTAMP</w:t>
        <w:br/>
      </w:r>
      <w:r>
        <w:t>);</w:t>
        <w:br/>
      </w:r>
    </w:p>
    <w:p>
      <w:pPr>
        <w:pStyle w:val="Code"/>
      </w:pPr>
      <w:r>
        <w:t>CREATE TABLE rule_hits (</w:t>
        <w:br/>
      </w:r>
      <w:r>
        <w:t xml:space="preserve">    rule_hit_id                BIGSERIAL PRIMARY KEY,</w:t>
        <w:br/>
      </w:r>
      <w:r>
        <w:t xml:space="preserve">    rule_id                    BIGINT NOT NULL REFERENCES rules(rule_id),</w:t>
        <w:br/>
      </w:r>
      <w:r>
        <w:t xml:space="preserve">    rfq_id                     BIGINT NOT NULL REFERENCES rfq_packages(rfq_id) ON DELETE CASCADE,</w:t>
        <w:br/>
      </w:r>
      <w:r>
        <w:t xml:space="preserve">    part_id                    BIGINT REFERENCES parts(part_id),</w:t>
        <w:br/>
      </w:r>
      <w:r>
        <w:t xml:space="preserve">    quote_id                   BIGINT REFERENCES quotes(quote_id),</w:t>
        <w:br/>
      </w:r>
      <w:r>
        <w:t xml:space="preserve">    hit_flag                   BOOLEAN NOT NULL,</w:t>
        <w:br/>
      </w:r>
      <w:r>
        <w:t xml:space="preserve">    evidence_json              JSONB,</w:t>
        <w:br/>
      </w:r>
      <w:r>
        <w:t xml:space="preserve">    impact_summary             TEXT,</w:t>
        <w:br/>
      </w:r>
      <w:r>
        <w:t xml:space="preserve">    reviewer_comment           TEXT,</w:t>
        <w:br/>
      </w:r>
      <w:r>
        <w:t xml:space="preserve">    created_at                 TIMESTAMP DEFAULT CURRENT_TIMESTAMP</w:t>
        <w:br/>
      </w:r>
      <w:r>
        <w:t>);</w:t>
        <w:br/>
      </w:r>
    </w:p>
    <w:p>
      <w:pPr>
        <w:pStyle w:val="Code"/>
      </w:pPr>
      <w:r>
        <w:t>CREATE TABLE submission_outcomes (</w:t>
        <w:br/>
      </w:r>
      <w:r>
        <w:t xml:space="preserve">    outcome_id                 BIGSERIAL PRIMARY KEY,</w:t>
        <w:br/>
      </w:r>
      <w:r>
        <w:t xml:space="preserve">    quote_id                   BIGINT NOT NULL REFERENCES quotes(quote_id) ON DELETE CASCADE,</w:t>
        <w:br/>
      </w:r>
      <w:r>
        <w:t xml:space="preserve">    award_status               VARCHAR(50),      -- awarded / lost / no_quote / cancelled</w:t>
        <w:br/>
      </w:r>
      <w:r>
        <w:t xml:space="preserve">    award_date                 DATE,</w:t>
        <w:br/>
      </w:r>
      <w:r>
        <w:t xml:space="preserve">    loss_reason                VARCHAR(255),</w:t>
        <w:br/>
      </w:r>
      <w:r>
        <w:t xml:space="preserve">    competitor_benchmark       TEXT,</w:t>
        <w:br/>
      </w:r>
      <w:r>
        <w:t xml:space="preserve">    actual_launch_margin_pct   NUMERIC(8,4),</w:t>
        <w:br/>
      </w:r>
      <w:r>
        <w:t xml:space="preserve">    actual_quality_ppm         NUMERIC(18,4),</w:t>
        <w:br/>
      </w:r>
      <w:r>
        <w:t xml:space="preserve">    actual_scrap_rate_pct      NUMERIC(8,4),</w:t>
        <w:br/>
      </w:r>
      <w:r>
        <w:t xml:space="preserve">    notes                      TEXT,</w:t>
        <w:br/>
      </w:r>
      <w:r>
        <w:t xml:space="preserve">    created_at                 TIMESTAMP DEFAULT CURRENT_TIMESTAMP</w:t>
        <w:br/>
      </w:r>
      <w:r>
        <w:t>);</w:t>
        <w:br/>
      </w:r>
    </w:p>
    <w:p>
      <w:pPr>
        <w:pStyle w:val="Heading2"/>
      </w:pPr>
      <w:r>
        <w:t>3.5 Recommended Indexes and Views</w:t>
      </w:r>
    </w:p>
    <w:p>
      <w:pPr/>
      <w:r>
        <w:t>Recommended indexes:</w:t>
      </w:r>
    </w:p>
    <w:p>
      <w:pPr>
        <w:ind w:left="259" w:hanging="259"/>
      </w:pPr>
      <w:r>
        <w:rPr>
          <w:rFonts w:ascii="Arial" w:hAnsi="Arial"/>
          <w:sz w:val="21"/>
        </w:rPr>
        <w:t>• Index rfq_packages by customer_id, quote_due_date, package_status.</w:t>
      </w:r>
    </w:p>
    <w:p>
      <w:pPr>
        <w:ind w:left="259" w:hanging="259"/>
      </w:pPr>
      <w:r>
        <w:rPr>
          <w:rFonts w:ascii="Arial" w:hAnsi="Arial"/>
          <w:sz w:val="21"/>
        </w:rPr>
        <w:t>• Index parts by rfq_id, part_family, material_spec, annual_volume.</w:t>
      </w:r>
    </w:p>
    <w:p>
      <w:pPr>
        <w:ind w:left="259" w:hanging="259"/>
      </w:pPr>
      <w:r>
        <w:rPr>
          <w:rFonts w:ascii="Arial" w:hAnsi="Arial"/>
          <w:sz w:val="21"/>
        </w:rPr>
        <w:t>• Index quote_line_items by part_id and quoted_unit_price for benchmark analysis.</w:t>
      </w:r>
    </w:p>
    <w:p>
      <w:pPr>
        <w:ind w:left="259" w:hanging="259"/>
      </w:pPr>
      <w:r>
        <w:rPr>
          <w:rFonts w:ascii="Arial" w:hAnsi="Arial"/>
          <w:sz w:val="21"/>
        </w:rPr>
        <w:t>• GIN index on rule_hits.evidence_json if JSON search is needed.</w:t>
      </w:r>
    </w:p>
    <w:p>
      <w:pPr>
        <w:ind w:left="259" w:hanging="259"/>
      </w:pPr>
      <w:r>
        <w:rPr>
          <w:rFonts w:ascii="Arial" w:hAnsi="Arial"/>
          <w:sz w:val="21"/>
        </w:rPr>
        <w:t>• Materialized view for similar historical projects by part family, material, volume band, and PPAP level.</w:t>
      </w:r>
    </w:p>
    <w:p>
      <w:pPr>
        <w:pStyle w:val="Heading2"/>
      </w:pPr>
      <w:r>
        <w:t>3.6 Suggested Similarity View</w:t>
      </w:r>
    </w:p>
    <w:p>
      <w:pPr>
        <w:pStyle w:val="Code"/>
      </w:pPr>
      <w:r>
        <w:t>CREATE VIEW vw_historical_similarity AS</w:t>
        <w:br/>
      </w:r>
      <w:r>
        <w:t>SELECT</w:t>
        <w:br/>
      </w:r>
      <w:r>
        <w:t xml:space="preserve">    hp.historical_project_id,</w:t>
        <w:br/>
      </w:r>
      <w:r>
        <w:t xml:space="preserve">    hp.part_family,</w:t>
        <w:br/>
      </w:r>
      <w:r>
        <w:t xml:space="preserve">    hp.material_spec,</w:t>
        <w:br/>
      </w:r>
      <w:r>
        <w:t xml:space="preserve">    hp.annual_volume,</w:t>
        <w:br/>
      </w:r>
      <w:r>
        <w:t xml:space="preserve">    hp.ppap_level,</w:t>
        <w:br/>
      </w:r>
      <w:r>
        <w:t xml:space="preserve">    hp.tolerance_class,</w:t>
        <w:br/>
      </w:r>
      <w:r>
        <w:t xml:space="preserve">    hp.packaging_type,</w:t>
        <w:br/>
      </w:r>
      <w:r>
        <w:t xml:space="preserve">    hp.realized_margin_pct</w:t>
        <w:br/>
      </w:r>
      <w:r>
        <w:t>FROM historical_projects hp</w:t>
        <w:br/>
      </w:r>
      <w:r>
        <w:t>WHERE hp.awarded_flag IS NOT NULL;</w:t>
        <w:br/>
      </w:r>
    </w:p>
    <w:p>
      <w:pPr>
        <w:pStyle w:val="Heading1"/>
      </w:pPr>
      <w:r>
        <w:t>4. RFQ Parsing Prompts (API-Ready)</w:t>
      </w:r>
    </w:p>
    <w:p>
      <w:r>
        <w:t>The prompts below are written for a document-parsing workflow where RFQ files are converted to text and passed to a model through an API. The recommended pattern is: system prompt -&gt; task prompt -&gt; document text chunks -&gt; strict JSON response. For production use, pair these prompts with schema validation and retry logic when the JSON is incomplete.</w:t>
      </w:r>
    </w:p>
    <w:p>
      <w:pPr>
        <w:pStyle w:val="Heading2"/>
      </w:pPr>
      <w:r>
        <w:t>4.1 Prompting Strategy</w:t>
      </w:r>
    </w:p>
    <w:p>
      <w:pPr>
        <w:ind w:left="259" w:hanging="259"/>
      </w:pPr>
      <w:r>
        <w:rPr>
          <w:rFonts w:ascii="Arial" w:hAnsi="Arial"/>
          <w:sz w:val="21"/>
        </w:rPr>
        <w:t>• Use deterministic settings where possible to improve consistency.</w:t>
      </w:r>
    </w:p>
    <w:p>
      <w:pPr>
        <w:ind w:left="259" w:hanging="259"/>
      </w:pPr>
      <w:r>
        <w:rPr>
          <w:rFonts w:ascii="Arial" w:hAnsi="Arial"/>
          <w:sz w:val="21"/>
        </w:rPr>
        <w:t>• Ask for normalized JSON only; do not allow explanatory prose in machine-facing runs.</w:t>
      </w:r>
    </w:p>
    <w:p>
      <w:pPr>
        <w:ind w:left="259" w:hanging="259"/>
      </w:pPr>
      <w:r>
        <w:rPr>
          <w:rFonts w:ascii="Arial" w:hAnsi="Arial"/>
          <w:sz w:val="21"/>
        </w:rPr>
        <w:t>• Chunk large RFQs by document type first (drawings, technical specs, commercial terms, packaging, quality).</w:t>
      </w:r>
    </w:p>
    <w:p>
      <w:pPr>
        <w:ind w:left="259" w:hanging="259"/>
      </w:pPr>
      <w:r>
        <w:rPr>
          <w:rFonts w:ascii="Arial" w:hAnsi="Arial"/>
          <w:sz w:val="21"/>
        </w:rPr>
        <w:t>• Store model confidence and source references for each extracted field.</w:t>
      </w:r>
    </w:p>
    <w:p>
      <w:pPr>
        <w:ind w:left="259" w:hanging="259"/>
      </w:pPr>
      <w:r>
        <w:rPr>
          <w:rFonts w:ascii="Arial" w:hAnsi="Arial"/>
          <w:sz w:val="21"/>
        </w:rPr>
        <w:t>• Run a second-pass reconciliation prompt to merge overlapping results and resolve conflicts.</w:t>
      </w:r>
    </w:p>
    <w:p>
      <w:pPr>
        <w:pStyle w:val="Heading2"/>
      </w:pPr>
      <w:r>
        <w:t>4.2 System Prompt - RFQ Extraction</w:t>
      </w:r>
    </w:p>
    <w:p>
      <w:pPr>
        <w:pStyle w:val="Code"/>
      </w:pPr>
      <w:r>
        <w:t>You are an RFQ extraction engine for automotive supplier quotation workflows.</w:t>
        <w:br/>
      </w:r>
      <w:r>
        <w:t>Your job is to read RFQ package content and return structured data for quotation review.</w:t>
        <w:br/>
      </w:r>
      <w:r>
        <w:t>You must:</w:t>
        <w:br/>
      </w:r>
      <w:r>
        <w:t>1. extract only what is supported by the source text;</w:t>
        <w:br/>
      </w:r>
      <w:r>
        <w:t>2. normalize fields into consistent names and units;</w:t>
        <w:br/>
      </w:r>
      <w:r>
        <w:t>3. mark unknown values as null;</w:t>
        <w:br/>
      </w:r>
      <w:r>
        <w:t>4. include confidence scores from 0.00 to 1.00;</w:t>
        <w:br/>
      </w:r>
      <w:r>
        <w:t>5. include source snippets or document references whenever possible;</w:t>
        <w:br/>
      </w:r>
      <w:r>
        <w:t>6. avoid assumptions unless the prompt explicitly requests inference.</w:t>
        <w:br/>
      </w:r>
      <w:r>
        <w:br/>
      </w:r>
      <w:r>
        <w:t>Return valid JSON only. No markdown. No commentary.</w:t>
        <w:br/>
      </w:r>
    </w:p>
    <w:p>
      <w:pPr>
        <w:pStyle w:val="Heading2"/>
      </w:pPr>
      <w:r>
        <w:t>4.3 User Prompt - RFQ Header and Commercial Terms</w:t>
      </w:r>
    </w:p>
    <w:p>
      <w:pPr>
        <w:pStyle w:val="Code"/>
      </w:pPr>
      <w:r>
        <w:t>Extract RFQ header and commercial terms from the following content.</w:t>
        <w:br/>
      </w:r>
      <w:r>
        <w:br/>
      </w:r>
      <w:r>
        <w:t>Required JSON structure:</w:t>
        <w:br/>
      </w:r>
      <w:r>
        <w:t>{</w:t>
        <w:br/>
      </w:r>
      <w:r>
        <w:t xml:space="preserve">  "rfq_header": {</w:t>
        <w:br/>
      </w:r>
      <w:r>
        <w:t xml:space="preserve">    "rfq_number": "",</w:t>
        <w:br/>
      </w:r>
      <w:r>
        <w:t xml:space="preserve">    "rfq_title": "",</w:t>
        <w:br/>
      </w:r>
      <w:r>
        <w:t xml:space="preserve">    "customer_name": "",</w:t>
        <w:br/>
      </w:r>
      <w:r>
        <w:t xml:space="preserve">    "buyer_name": "",</w:t>
        <w:br/>
      </w:r>
      <w:r>
        <w:t xml:space="preserve">    "buyer_email": "",</w:t>
        <w:br/>
      </w:r>
      <w:r>
        <w:t xml:space="preserve">    "issue_date": "",</w:t>
        <w:br/>
      </w:r>
      <w:r>
        <w:t xml:space="preserve">    "quote_due_date": "",</w:t>
        <w:br/>
      </w:r>
      <w:r>
        <w:t xml:space="preserve">    "sop_date": "",</w:t>
        <w:br/>
      </w:r>
      <w:r>
        <w:t xml:space="preserve">    "eop_date": "",</w:t>
        <w:br/>
      </w:r>
      <w:r>
        <w:t xml:space="preserve">    "currency": "",</w:t>
        <w:br/>
      </w:r>
      <w:r>
        <w:t xml:space="preserve">    "incoterm": "",</w:t>
        <w:br/>
      </w:r>
      <w:r>
        <w:t xml:space="preserve">    "payment_terms_days": null,</w:t>
        <w:br/>
      </w:r>
      <w:r>
        <w:t xml:space="preserve">    "annual_price_down_pct": null</w:t>
        <w:br/>
      </w:r>
      <w:r>
        <w:t xml:space="preserve">  },</w:t>
        <w:br/>
      </w:r>
      <w:r>
        <w:t xml:space="preserve">  "commercial_notes": [</w:t>
        <w:br/>
      </w:r>
      <w:r>
        <w:t xml:space="preserve">    {</w:t>
        <w:br/>
      </w:r>
      <w:r>
        <w:t xml:space="preserve">      "topic": "",</w:t>
        <w:br/>
      </w:r>
      <w:r>
        <w:t xml:space="preserve">      "detail": "",</w:t>
        <w:br/>
      </w:r>
      <w:r>
        <w:t xml:space="preserve">      "severity_hint": "low|medium|high",</w:t>
        <w:br/>
      </w:r>
      <w:r>
        <w:t xml:space="preserve">      "source_reference": "",</w:t>
        <w:br/>
      </w:r>
      <w:r>
        <w:t xml:space="preserve">      "confidence": 0.0</w:t>
        <w:br/>
      </w:r>
      <w:r>
        <w:t xml:space="preserve">    }</w:t>
        <w:br/>
      </w:r>
      <w:r>
        <w:t xml:space="preserve">  ]</w:t>
        <w:br/>
      </w:r>
      <w:r>
        <w:t>}</w:t>
        <w:br/>
      </w:r>
      <w:r>
        <w:br/>
      </w:r>
      <w:r>
        <w:t>Rules:</w:t>
        <w:br/>
      </w:r>
      <w:r>
        <w:t>- Convert payment terms to number of days when stated.</w:t>
        <w:br/>
      </w:r>
      <w:r>
        <w:t>- If annual price reduction is stated as a range, capture the highest explicit value in annual_price_down_pct and mention the range in commercial_notes.</w:t>
        <w:br/>
      </w:r>
      <w:r>
        <w:t>- Use ISO date format YYYY-MM-DD when full dates are available; otherwise keep partial date text in notes.</w:t>
        <w:br/>
      </w:r>
      <w:r>
        <w:t>- Return null for unknown numeric fields.</w:t>
        <w:br/>
      </w:r>
    </w:p>
    <w:p>
      <w:pPr>
        <w:pStyle w:val="Heading2"/>
      </w:pPr>
      <w:r>
        <w:t>4.4 User Prompt - Part and Technical Attribute Extraction</w:t>
      </w:r>
    </w:p>
    <w:p>
      <w:pPr>
        <w:pStyle w:val="Code"/>
      </w:pPr>
      <w:r>
        <w:t>Extract part-level technical data from the RFQ text.</w:t>
        <w:br/>
      </w:r>
      <w:r>
        <w:br/>
      </w:r>
      <w:r>
        <w:t>Required JSON structure:</w:t>
        <w:br/>
      </w:r>
      <w:r>
        <w:t>{</w:t>
        <w:br/>
      </w:r>
      <w:r>
        <w:t xml:space="preserve">  "parts": [</w:t>
        <w:br/>
      </w:r>
      <w:r>
        <w:t xml:space="preserve">    {</w:t>
        <w:br/>
      </w:r>
      <w:r>
        <w:t xml:space="preserve">      "customer_part_number": "",</w:t>
        <w:br/>
      </w:r>
      <w:r>
        <w:t xml:space="preserve">      "part_name": "",</w:t>
        <w:br/>
      </w:r>
      <w:r>
        <w:t xml:space="preserve">      "part_family": "",</w:t>
        <w:br/>
      </w:r>
      <w:r>
        <w:t xml:space="preserve">      "drawing_number": "",</w:t>
        <w:br/>
      </w:r>
      <w:r>
        <w:t xml:space="preserve">      "revision_level": "",</w:t>
        <w:br/>
      </w:r>
      <w:r>
        <w:t xml:space="preserve">      "material_spec": "",</w:t>
        <w:br/>
      </w:r>
      <w:r>
        <w:t xml:space="preserve">      "annual_volume": null,</w:t>
        <w:br/>
      </w:r>
      <w:r>
        <w:t xml:space="preserve">      "lifetime_volume": null,</w:t>
        <w:br/>
      </w:r>
      <w:r>
        <w:t xml:space="preserve">      "target_weight_kg": null,</w:t>
        <w:br/>
      </w:r>
      <w:r>
        <w:t xml:space="preserve">      "process_route": [],</w:t>
        <w:br/>
      </w:r>
      <w:r>
        <w:t xml:space="preserve">      "tolerance_text": "",</w:t>
        <w:br/>
      </w:r>
      <w:r>
        <w:t xml:space="preserve">      "surface_finish": "",</w:t>
        <w:br/>
      </w:r>
      <w:r>
        <w:t xml:space="preserve">      "special_characteristics": [],</w:t>
        <w:br/>
      </w:r>
      <w:r>
        <w:t xml:space="preserve">      "ppap_level": "",</w:t>
        <w:br/>
      </w:r>
      <w:r>
        <w:t xml:space="preserve">      "imds_required": null,</w:t>
        <w:br/>
      </w:r>
      <w:r>
        <w:t xml:space="preserve">      "reach_required": null,</w:t>
        <w:br/>
      </w:r>
      <w:r>
        <w:t xml:space="preserve">      "rohs_required": null,</w:t>
        <w:br/>
      </w:r>
      <w:r>
        <w:t xml:space="preserve">      "packaging_required": null,</w:t>
        <w:br/>
      </w:r>
      <w:r>
        <w:t xml:space="preserve">      "source_reference": "",</w:t>
        <w:br/>
      </w:r>
      <w:r>
        <w:t xml:space="preserve">      "confidence": 0.0</w:t>
        <w:br/>
      </w:r>
      <w:r>
        <w:t xml:space="preserve">    }</w:t>
        <w:br/>
      </w:r>
      <w:r>
        <w:t xml:space="preserve">  ]</w:t>
        <w:br/>
      </w:r>
      <w:r>
        <w:t>}</w:t>
        <w:br/>
      </w:r>
      <w:r>
        <w:br/>
      </w:r>
      <w:r>
        <w:t>Normalization rules:</w:t>
        <w:br/>
      </w:r>
      <w:r>
        <w:t>- part_family should be one of: stamping, injection_molding, machining, casting, assembly, electronics, other.</w:t>
        <w:br/>
      </w:r>
      <w:r>
        <w:t>- Convert annual and lifetime volumes to numeric values when possible.</w:t>
        <w:br/>
      </w:r>
      <w:r>
        <w:t>- process_route should be a list of concise process steps.</w:t>
        <w:br/>
      </w:r>
      <w:r>
        <w:t>- special_characteristics should preserve customer labels such as SC, CC, CTQ if mentioned.</w:t>
        <w:br/>
      </w:r>
      <w:r>
        <w:t>- packaging_required should be true when a packaging specification or explicit packaging instruction is present.</w:t>
        <w:br/>
      </w:r>
    </w:p>
    <w:p>
      <w:pPr>
        <w:pStyle w:val="Heading2"/>
      </w:pPr>
      <w:r>
        <w:t>4.5 User Prompt - Completeness Check from Document Inventory</w:t>
      </w:r>
    </w:p>
    <w:p>
      <w:pPr>
        <w:pStyle w:val="Code"/>
      </w:pPr>
      <w:r>
        <w:t>Given the RFQ package file list and text, determine whether the package appears complete for quotation review.</w:t>
        <w:br/>
      </w:r>
      <w:r>
        <w:br/>
      </w:r>
      <w:r>
        <w:t>Return JSON:</w:t>
        <w:br/>
      </w:r>
      <w:r>
        <w:t>{</w:t>
        <w:br/>
      </w:r>
      <w:r>
        <w:t xml:space="preserve">  "document_check": [</w:t>
        <w:br/>
      </w:r>
      <w:r>
        <w:t xml:space="preserve">    {"document_type":"drawing","present":true,"comment":"","confidence":0.0},</w:t>
        <w:br/>
      </w:r>
      <w:r>
        <w:t xml:space="preserve">    {"document_type":"3d_model","present":false,"comment":"","confidence":0.0},</w:t>
        <w:br/>
      </w:r>
      <w:r>
        <w:t xml:space="preserve">    {"document_type":"commercial_template","present":true,"comment":"","confidence":0.0},</w:t>
        <w:br/>
      </w:r>
      <w:r>
        <w:t xml:space="preserve">    {"document_type":"quality_requirements","present":true,"comment":"","confidence":0.0},</w:t>
        <w:br/>
      </w:r>
      <w:r>
        <w:t xml:space="preserve">    {"document_type":"packaging_spec","present":false,"comment":"","confidence":0.0},</w:t>
        <w:br/>
      </w:r>
      <w:r>
        <w:t xml:space="preserve">    {"document_type":"test_spec","present":false,"comment":"","confidence":0.0},</w:t>
        <w:br/>
      </w:r>
      <w:r>
        <w:t xml:space="preserve">    {"document_type":"nda","present":true,"comment":"","confidence":0.0}</w:t>
        <w:br/>
      </w:r>
      <w:r>
        <w:t xml:space="preserve">  ],</w:t>
        <w:br/>
      </w:r>
      <w:r>
        <w:t xml:space="preserve">  "missing_items_summary": [],</w:t>
        <w:br/>
      </w:r>
      <w:r>
        <w:t xml:space="preserve">  "overall_completeness_risk": "low|medium|high"</w:t>
        <w:br/>
      </w:r>
      <w:r>
        <w:t>}</w:t>
        <w:br/>
      </w:r>
      <w:r>
        <w:br/>
      </w:r>
      <w:r>
        <w:t>Rules:</w:t>
        <w:br/>
      </w:r>
      <w:r>
        <w:t>- Mark present only when directly supported by file names, file types, or text.</w:t>
        <w:br/>
      </w:r>
      <w:r>
        <w:t>- If a missing document is likely to affect costing, mention that in comment.</w:t>
        <w:br/>
      </w:r>
      <w:r>
        <w:t>- Keep comments concise and operational.</w:t>
        <w:br/>
      </w:r>
    </w:p>
    <w:p>
      <w:pPr>
        <w:pStyle w:val="Heading2"/>
      </w:pPr>
      <w:r>
        <w:t>4.6 User Prompt - Parsing Output Reconciliation</w:t>
      </w:r>
    </w:p>
    <w:p>
      <w:pPr>
        <w:pStyle w:val="Code"/>
      </w:pPr>
      <w:r>
        <w:t>You will receive multiple JSON extraction outputs from different RFQ documents.</w:t>
        <w:br/>
      </w:r>
      <w:r>
        <w:t>Merge them into one final result.</w:t>
        <w:br/>
      </w:r>
      <w:r>
        <w:t>When fields conflict:</w:t>
        <w:br/>
      </w:r>
      <w:r>
        <w:t>1. prefer the most explicit value;</w:t>
        <w:br/>
      </w:r>
      <w:r>
        <w:t>2. prefer the newest document revision if available;</w:t>
        <w:br/>
      </w:r>
      <w:r>
        <w:t>3. if conflict remains unresolved, keep the field null and add an item to conflicts[].</w:t>
        <w:br/>
      </w:r>
      <w:r>
        <w:br/>
      </w:r>
      <w:r>
        <w:t>Return JSON:</w:t>
        <w:br/>
      </w:r>
      <w:r>
        <w:t>{</w:t>
        <w:br/>
      </w:r>
      <w:r>
        <w:t xml:space="preserve">  "final_extraction": {},</w:t>
        <w:br/>
      </w:r>
      <w:r>
        <w:t xml:space="preserve">  "conflicts": [</w:t>
        <w:br/>
      </w:r>
      <w:r>
        <w:t xml:space="preserve">    {</w:t>
        <w:br/>
      </w:r>
      <w:r>
        <w:t xml:space="preserve">      "field_name": "",</w:t>
        <w:br/>
      </w:r>
      <w:r>
        <w:t xml:space="preserve">      "value_a": "",</w:t>
        <w:br/>
      </w:r>
      <w:r>
        <w:t xml:space="preserve">      "value_b": "",</w:t>
        <w:br/>
      </w:r>
      <w:r>
        <w:t xml:space="preserve">      "reason": "",</w:t>
        <w:br/>
      </w:r>
      <w:r>
        <w:t xml:space="preserve">      "recommended_manual_check": ""</w:t>
        <w:br/>
      </w:r>
      <w:r>
        <w:t xml:space="preserve">    }</w:t>
        <w:br/>
      </w:r>
      <w:r>
        <w:t xml:space="preserve">  ]</w:t>
        <w:br/>
      </w:r>
      <w:r>
        <w:t>}</w:t>
        <w:br/>
      </w:r>
    </w:p>
    <w:p>
      <w:pPr>
        <w:pStyle w:val="Heading2"/>
      </w:pPr>
      <w:r>
        <w:t>4.7 Suggested API Response Contract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Mar>
              <w:top w:w="80" w:type="dxa"/>
              <w:start w:w="100" w:type="dxa"/>
              <w:bottom w:w="80" w:type="dxa"/>
              <w:end w:w="100" w:type="dxa"/>
            </w:tcMar>
            <w:shd w:fill="D9EAF7"/>
          </w:tcPr>
          <w:p>
            <w:pPr>
              <w:spacing w:after="40" w:line="259" w:lineRule="auto"/>
            </w:pPr>
            <w:r>
              <w:rPr>
                <w:rFonts w:ascii="Arial" w:hAnsi="Arial"/>
                <w:b/>
                <w:color w:val="1F4E79"/>
                <w:sz w:val="19"/>
              </w:rPr>
              <w:t>Field</w:t>
            </w:r>
          </w:p>
        </w:tc>
        <w:tc>
          <w:tcPr>
            <w:tcW w:type="dxa" w:w="3264"/>
            <w:vAlign w:val="center"/>
            <w:tcMar>
              <w:top w:w="80" w:type="dxa"/>
              <w:start w:w="100" w:type="dxa"/>
              <w:bottom w:w="80" w:type="dxa"/>
              <w:end w:w="100" w:type="dxa"/>
            </w:tcMar>
            <w:shd w:fill="D9EAF7"/>
          </w:tcPr>
          <w:p>
            <w:pPr>
              <w:spacing w:after="40" w:line="259" w:lineRule="auto"/>
            </w:pPr>
            <w:r>
              <w:rPr>
                <w:rFonts w:ascii="Arial" w:hAnsi="Arial"/>
                <w:b/>
                <w:color w:val="1F4E79"/>
                <w:sz w:val="19"/>
              </w:rPr>
              <w:t>Type</w:t>
            </w:r>
          </w:p>
        </w:tc>
        <w:tc>
          <w:tcPr>
            <w:tcW w:type="dxa" w:w="3264"/>
            <w:vAlign w:val="center"/>
            <w:tcMar>
              <w:top w:w="80" w:type="dxa"/>
              <w:start w:w="100" w:type="dxa"/>
              <w:bottom w:w="80" w:type="dxa"/>
              <w:end w:w="100" w:type="dxa"/>
            </w:tcMar>
            <w:shd w:fill="D9EAF7"/>
          </w:tcPr>
          <w:p>
            <w:pPr>
              <w:spacing w:after="40" w:line="259" w:lineRule="auto"/>
            </w:pPr>
            <w:r>
              <w:rPr>
                <w:rFonts w:ascii="Arial" w:hAnsi="Arial"/>
                <w:b/>
                <w:color w:val="1F4E79"/>
                <w:sz w:val="19"/>
              </w:rPr>
              <w:t>Notes</w:t>
            </w:r>
          </w:p>
        </w:tc>
      </w:tr>
      <w:tr>
        <w:tc>
          <w:tcPr>
            <w:tcW w:type="dxa" w:w="3264"/>
            <w:vAlign w:val="center"/>
            <w:tcMar>
              <w:top w:w="80" w:type="dxa"/>
              <w:start w:w="100" w:type="dxa"/>
              <w:bottom w:w="80" w:type="dxa"/>
              <w:end w:w="100" w:type="dxa"/>
            </w:tcMar>
          </w:tcPr>
          <w:p>
            <w:pPr>
              <w:spacing w:after="40" w:line="259" w:lineRule="auto"/>
            </w:pPr>
            <w:r>
              <w:rPr>
                <w:rFonts w:ascii="Arial" w:hAnsi="Arial"/>
                <w:sz w:val="19"/>
              </w:rPr>
              <w:t>source_reference</w:t>
            </w:r>
          </w:p>
        </w:tc>
        <w:tc>
          <w:tcPr>
            <w:tcW w:type="dxa" w:w="3264"/>
            <w:vAlign w:val="center"/>
            <w:tcMar>
              <w:top w:w="80" w:type="dxa"/>
              <w:start w:w="100" w:type="dxa"/>
              <w:bottom w:w="80" w:type="dxa"/>
              <w:end w:w="100" w:type="dxa"/>
            </w:tcMar>
          </w:tcPr>
          <w:p>
            <w:pPr>
              <w:spacing w:after="40" w:line="259" w:lineRule="auto"/>
            </w:pPr>
            <w:r>
              <w:rPr>
                <w:rFonts w:ascii="Arial" w:hAnsi="Arial"/>
                <w:sz w:val="19"/>
              </w:rPr>
              <w:t>string</w:t>
            </w:r>
          </w:p>
        </w:tc>
        <w:tc>
          <w:tcPr>
            <w:tcW w:type="dxa" w:w="3264"/>
            <w:vAlign w:val="center"/>
            <w:tcMar>
              <w:top w:w="80" w:type="dxa"/>
              <w:start w:w="100" w:type="dxa"/>
              <w:bottom w:w="80" w:type="dxa"/>
              <w:end w:w="100" w:type="dxa"/>
            </w:tcMar>
          </w:tcPr>
          <w:p>
            <w:pPr>
              <w:spacing w:after="40" w:line="259" w:lineRule="auto"/>
            </w:pPr>
            <w:r>
              <w:rPr>
                <w:rFonts w:ascii="Arial" w:hAnsi="Arial"/>
                <w:sz w:val="19"/>
              </w:rPr>
              <w:t>Store file name, page, section, or chunk id where possible</w:t>
            </w:r>
          </w:p>
        </w:tc>
      </w:tr>
      <w:tr>
        <w:tc>
          <w:tcPr>
            <w:tcW w:type="dxa" w:w="3264"/>
            <w:vAlign w:val="center"/>
            <w:tcMar>
              <w:top w:w="80" w:type="dxa"/>
              <w:start w:w="100" w:type="dxa"/>
              <w:bottom w:w="80" w:type="dxa"/>
              <w:end w:w="100" w:type="dxa"/>
            </w:tcMar>
          </w:tcPr>
          <w:p>
            <w:pPr>
              <w:spacing w:after="40" w:line="259" w:lineRule="auto"/>
            </w:pPr>
            <w:r>
              <w:rPr>
                <w:rFonts w:ascii="Arial" w:hAnsi="Arial"/>
                <w:sz w:val="19"/>
              </w:rPr>
              <w:t>confidence</w:t>
            </w:r>
          </w:p>
        </w:tc>
        <w:tc>
          <w:tcPr>
            <w:tcW w:type="dxa" w:w="3264"/>
            <w:vAlign w:val="center"/>
            <w:tcMar>
              <w:top w:w="80" w:type="dxa"/>
              <w:start w:w="100" w:type="dxa"/>
              <w:bottom w:w="80" w:type="dxa"/>
              <w:end w:w="100" w:type="dxa"/>
            </w:tcMar>
          </w:tcPr>
          <w:p>
            <w:pPr>
              <w:spacing w:after="40" w:line="259" w:lineRule="auto"/>
            </w:pPr>
            <w:r>
              <w:rPr>
                <w:rFonts w:ascii="Arial" w:hAnsi="Arial"/>
                <w:sz w:val="19"/>
              </w:rPr>
              <w:t>number</w:t>
            </w:r>
          </w:p>
        </w:tc>
        <w:tc>
          <w:tcPr>
            <w:tcW w:type="dxa" w:w="3264"/>
            <w:vAlign w:val="center"/>
            <w:tcMar>
              <w:top w:w="80" w:type="dxa"/>
              <w:start w:w="100" w:type="dxa"/>
              <w:bottom w:w="80" w:type="dxa"/>
              <w:end w:w="100" w:type="dxa"/>
            </w:tcMar>
          </w:tcPr>
          <w:p>
            <w:pPr>
              <w:spacing w:after="40" w:line="259" w:lineRule="auto"/>
            </w:pPr>
            <w:r>
              <w:rPr>
                <w:rFonts w:ascii="Arial" w:hAnsi="Arial"/>
                <w:sz w:val="19"/>
              </w:rPr>
              <w:t>0.00 to 1.00 extracted confidence</w:t>
            </w:r>
          </w:p>
        </w:tc>
      </w:tr>
      <w:tr>
        <w:tc>
          <w:tcPr>
            <w:tcW w:type="dxa" w:w="3264"/>
            <w:vAlign w:val="center"/>
            <w:tcMar>
              <w:top w:w="80" w:type="dxa"/>
              <w:start w:w="100" w:type="dxa"/>
              <w:bottom w:w="80" w:type="dxa"/>
              <w:end w:w="100" w:type="dxa"/>
            </w:tcMar>
          </w:tcPr>
          <w:p>
            <w:pPr>
              <w:spacing w:after="40" w:line="259" w:lineRule="auto"/>
            </w:pPr>
            <w:r>
              <w:rPr>
                <w:rFonts w:ascii="Arial" w:hAnsi="Arial"/>
                <w:sz w:val="19"/>
              </w:rPr>
              <w:t>null handling</w:t>
            </w:r>
          </w:p>
        </w:tc>
        <w:tc>
          <w:tcPr>
            <w:tcW w:type="dxa" w:w="3264"/>
            <w:vAlign w:val="center"/>
            <w:tcMar>
              <w:top w:w="80" w:type="dxa"/>
              <w:start w:w="100" w:type="dxa"/>
              <w:bottom w:w="80" w:type="dxa"/>
              <w:end w:w="100" w:type="dxa"/>
            </w:tcMar>
          </w:tcPr>
          <w:p>
            <w:pPr>
              <w:spacing w:after="40" w:line="259" w:lineRule="auto"/>
            </w:pPr>
            <w:r>
              <w:rPr>
                <w:rFonts w:ascii="Arial" w:hAnsi="Arial"/>
                <w:sz w:val="19"/>
              </w:rPr>
              <w:t>rule</w:t>
            </w:r>
          </w:p>
        </w:tc>
        <w:tc>
          <w:tcPr>
            <w:tcW w:type="dxa" w:w="3264"/>
            <w:vAlign w:val="center"/>
            <w:tcMar>
              <w:top w:w="80" w:type="dxa"/>
              <w:start w:w="100" w:type="dxa"/>
              <w:bottom w:w="80" w:type="dxa"/>
              <w:end w:w="100" w:type="dxa"/>
            </w:tcMar>
          </w:tcPr>
          <w:p>
            <w:pPr>
              <w:spacing w:after="40" w:line="259" w:lineRule="auto"/>
            </w:pPr>
            <w:r>
              <w:rPr>
                <w:rFonts w:ascii="Arial" w:hAnsi="Arial"/>
                <w:sz w:val="19"/>
              </w:rPr>
              <w:t>Unknown or unsupported values must be null</w:t>
            </w:r>
          </w:p>
        </w:tc>
      </w:tr>
      <w:tr>
        <w:tc>
          <w:tcPr>
            <w:tcW w:type="dxa" w:w="3264"/>
            <w:vAlign w:val="center"/>
            <w:tcMar>
              <w:top w:w="80" w:type="dxa"/>
              <w:start w:w="100" w:type="dxa"/>
              <w:bottom w:w="80" w:type="dxa"/>
              <w:end w:w="100" w:type="dxa"/>
            </w:tcMar>
          </w:tcPr>
          <w:p>
            <w:pPr>
              <w:spacing w:after="40" w:line="259" w:lineRule="auto"/>
            </w:pPr>
            <w:r>
              <w:rPr>
                <w:rFonts w:ascii="Arial" w:hAnsi="Arial"/>
                <w:sz w:val="19"/>
              </w:rPr>
              <w:t>normalization</w:t>
            </w:r>
          </w:p>
        </w:tc>
        <w:tc>
          <w:tcPr>
            <w:tcW w:type="dxa" w:w="3264"/>
            <w:vAlign w:val="center"/>
            <w:tcMar>
              <w:top w:w="80" w:type="dxa"/>
              <w:start w:w="100" w:type="dxa"/>
              <w:bottom w:w="80" w:type="dxa"/>
              <w:end w:w="100" w:type="dxa"/>
            </w:tcMar>
          </w:tcPr>
          <w:p>
            <w:pPr>
              <w:spacing w:after="40" w:line="259" w:lineRule="auto"/>
            </w:pPr>
            <w:r>
              <w:rPr>
                <w:rFonts w:ascii="Arial" w:hAnsi="Arial"/>
                <w:sz w:val="19"/>
              </w:rPr>
              <w:t>rule</w:t>
            </w:r>
          </w:p>
        </w:tc>
        <w:tc>
          <w:tcPr>
            <w:tcW w:type="dxa" w:w="3264"/>
            <w:vAlign w:val="center"/>
            <w:tcMar>
              <w:top w:w="80" w:type="dxa"/>
              <w:start w:w="100" w:type="dxa"/>
              <w:bottom w:w="80" w:type="dxa"/>
              <w:end w:w="100" w:type="dxa"/>
            </w:tcMar>
          </w:tcPr>
          <w:p>
            <w:pPr>
              <w:spacing w:after="40" w:line="259" w:lineRule="auto"/>
            </w:pPr>
            <w:r>
              <w:rPr>
                <w:rFonts w:ascii="Arial" w:hAnsi="Arial"/>
                <w:sz w:val="19"/>
              </w:rPr>
              <w:t>Units and part family labels must use internal standard definitions</w:t>
            </w:r>
          </w:p>
        </w:tc>
      </w:tr>
      <w:tr>
        <w:tc>
          <w:tcPr>
            <w:tcW w:type="dxa" w:w="3264"/>
            <w:vAlign w:val="center"/>
            <w:tcMar>
              <w:top w:w="80" w:type="dxa"/>
              <w:start w:w="100" w:type="dxa"/>
              <w:bottom w:w="80" w:type="dxa"/>
              <w:end w:w="100" w:type="dxa"/>
            </w:tcMar>
          </w:tcPr>
          <w:p>
            <w:pPr>
              <w:spacing w:after="40" w:line="259" w:lineRule="auto"/>
            </w:pPr>
            <w:r>
              <w:rPr>
                <w:rFonts w:ascii="Arial" w:hAnsi="Arial"/>
                <w:sz w:val="19"/>
              </w:rPr>
              <w:t>validation</w:t>
            </w:r>
          </w:p>
        </w:tc>
        <w:tc>
          <w:tcPr>
            <w:tcW w:type="dxa" w:w="3264"/>
            <w:vAlign w:val="center"/>
            <w:tcMar>
              <w:top w:w="80" w:type="dxa"/>
              <w:start w:w="100" w:type="dxa"/>
              <w:bottom w:w="80" w:type="dxa"/>
              <w:end w:w="100" w:type="dxa"/>
            </w:tcMar>
          </w:tcPr>
          <w:p>
            <w:pPr>
              <w:spacing w:after="40" w:line="259" w:lineRule="auto"/>
            </w:pPr>
            <w:r>
              <w:rPr>
                <w:rFonts w:ascii="Arial" w:hAnsi="Arial"/>
                <w:sz w:val="19"/>
              </w:rPr>
              <w:t>rule</w:t>
            </w:r>
          </w:p>
        </w:tc>
        <w:tc>
          <w:tcPr>
            <w:tcW w:type="dxa" w:w="3264"/>
            <w:vAlign w:val="center"/>
            <w:tcMar>
              <w:top w:w="80" w:type="dxa"/>
              <w:start w:w="100" w:type="dxa"/>
              <w:bottom w:w="80" w:type="dxa"/>
              <w:end w:w="100" w:type="dxa"/>
            </w:tcMar>
          </w:tcPr>
          <w:p>
            <w:pPr>
              <w:spacing w:after="40" w:line="259" w:lineRule="auto"/>
            </w:pPr>
            <w:r>
              <w:rPr>
                <w:rFonts w:ascii="Arial" w:hAnsi="Arial"/>
                <w:sz w:val="19"/>
              </w:rPr>
              <w:t>Reject and retry if JSON is invalid or required top-level keys are missing</w:t>
            </w:r>
          </w:p>
        </w:tc>
      </w:tr>
    </w:tbl>
    <w:p>
      <w:pPr>
        <w:pStyle w:val="Heading1"/>
      </w:pPr>
      <w:r>
        <w:t>5. Gap Analysis Rule Library (20+ Rules)</w:t>
      </w:r>
    </w:p>
    <w:p>
      <w:r>
        <w:t>The rules below are intended to be practical rather than theoretical. Each rule can be implemented either as SQL conditions, Python business logic, or an LLM-assisted post-processing layer. A good rollout pattern is to start with deterministic rules and add AI-generated explanations on top.</w:t>
      </w:r>
    </w:p>
    <w:p>
      <w:pPr>
        <w:pStyle w:val="Heading2"/>
      </w:pPr>
      <w:r>
        <w:t>5.1 Rule Table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Mar>
              <w:top w:w="80" w:type="dxa"/>
              <w:start w:w="100" w:type="dxa"/>
              <w:bottom w:w="80" w:type="dxa"/>
              <w:end w:w="100" w:type="dxa"/>
            </w:tcMar>
            <w:shd w:fill="D9EAF7"/>
          </w:tcPr>
          <w:p>
            <w:pPr>
              <w:spacing w:after="40" w:line="259" w:lineRule="auto"/>
            </w:pPr>
            <w:r>
              <w:rPr>
                <w:rFonts w:ascii="Arial" w:hAnsi="Arial"/>
                <w:b/>
                <w:color w:val="1F4E79"/>
                <w:sz w:val="19"/>
              </w:rPr>
              <w:t>Code</w:t>
            </w:r>
          </w:p>
        </w:tc>
        <w:tc>
          <w:tcPr>
            <w:tcW w:type="dxa" w:w="1632"/>
            <w:vAlign w:val="center"/>
            <w:tcMar>
              <w:top w:w="80" w:type="dxa"/>
              <w:start w:w="100" w:type="dxa"/>
              <w:bottom w:w="80" w:type="dxa"/>
              <w:end w:w="100" w:type="dxa"/>
            </w:tcMar>
            <w:shd w:fill="D9EAF7"/>
          </w:tcPr>
          <w:p>
            <w:pPr>
              <w:spacing w:after="40" w:line="259" w:lineRule="auto"/>
            </w:pPr>
            <w:r>
              <w:rPr>
                <w:rFonts w:ascii="Arial" w:hAnsi="Arial"/>
                <w:b/>
                <w:color w:val="1F4E79"/>
                <w:sz w:val="19"/>
              </w:rPr>
              <w:t>Category</w:t>
            </w:r>
          </w:p>
        </w:tc>
        <w:tc>
          <w:tcPr>
            <w:tcW w:type="dxa" w:w="1632"/>
            <w:vAlign w:val="center"/>
            <w:tcMar>
              <w:top w:w="80" w:type="dxa"/>
              <w:start w:w="100" w:type="dxa"/>
              <w:bottom w:w="80" w:type="dxa"/>
              <w:end w:w="100" w:type="dxa"/>
            </w:tcMar>
            <w:shd w:fill="D9EAF7"/>
          </w:tcPr>
          <w:p>
            <w:pPr>
              <w:spacing w:after="40" w:line="259" w:lineRule="auto"/>
            </w:pPr>
            <w:r>
              <w:rPr>
                <w:rFonts w:ascii="Arial" w:hAnsi="Arial"/>
                <w:b/>
                <w:color w:val="1F4E79"/>
                <w:sz w:val="19"/>
              </w:rPr>
              <w:t>Rule Name</w:t>
            </w:r>
          </w:p>
        </w:tc>
        <w:tc>
          <w:tcPr>
            <w:tcW w:type="dxa" w:w="1632"/>
            <w:vAlign w:val="center"/>
            <w:tcMar>
              <w:top w:w="80" w:type="dxa"/>
              <w:start w:w="100" w:type="dxa"/>
              <w:bottom w:w="80" w:type="dxa"/>
              <w:end w:w="100" w:type="dxa"/>
            </w:tcMar>
            <w:shd w:fill="D9EAF7"/>
          </w:tcPr>
          <w:p>
            <w:pPr>
              <w:spacing w:after="40" w:line="259" w:lineRule="auto"/>
            </w:pPr>
            <w:r>
              <w:rPr>
                <w:rFonts w:ascii="Arial" w:hAnsi="Arial"/>
                <w:b/>
                <w:color w:val="1F4E79"/>
                <w:sz w:val="19"/>
              </w:rPr>
              <w:t>Trigger Logic</w:t>
            </w:r>
          </w:p>
        </w:tc>
        <w:tc>
          <w:tcPr>
            <w:tcW w:type="dxa" w:w="1632"/>
            <w:vAlign w:val="center"/>
            <w:tcMar>
              <w:top w:w="80" w:type="dxa"/>
              <w:start w:w="100" w:type="dxa"/>
              <w:bottom w:w="80" w:type="dxa"/>
              <w:end w:w="100" w:type="dxa"/>
            </w:tcMar>
            <w:shd w:fill="D9EAF7"/>
          </w:tcPr>
          <w:p>
            <w:pPr>
              <w:spacing w:after="40" w:line="259" w:lineRule="auto"/>
            </w:pPr>
            <w:r>
              <w:rPr>
                <w:rFonts w:ascii="Arial" w:hAnsi="Arial"/>
                <w:b/>
                <w:color w:val="1F4E79"/>
                <w:sz w:val="19"/>
              </w:rPr>
              <w:t>Impact</w:t>
            </w:r>
          </w:p>
        </w:tc>
        <w:tc>
          <w:tcPr>
            <w:tcW w:type="dxa" w:w="1632"/>
            <w:vAlign w:val="center"/>
            <w:tcMar>
              <w:top w:w="80" w:type="dxa"/>
              <w:start w:w="100" w:type="dxa"/>
              <w:bottom w:w="80" w:type="dxa"/>
              <w:end w:w="100" w:type="dxa"/>
            </w:tcMar>
            <w:shd w:fill="D9EAF7"/>
          </w:tcPr>
          <w:p>
            <w:pPr>
              <w:spacing w:after="40" w:line="259" w:lineRule="auto"/>
            </w:pPr>
            <w:r>
              <w:rPr>
                <w:rFonts w:ascii="Arial" w:hAnsi="Arial"/>
                <w:b/>
                <w:color w:val="1F4E79"/>
                <w:sz w:val="19"/>
              </w:rPr>
              <w:t>Recommended Action</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CMP-01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Completeness</w:t>
            </w:r>
          </w:p>
        </w:tc>
        <w:tc>
          <w:tcPr>
            <w:tcW w:type="dxa" w:w="1632"/>
            <w:vAlign w:val="center"/>
            <w:tcMar>
              <w:top w:w="80" w:type="dxa"/>
              <w:start w:w="100" w:type="dxa"/>
              <w:bottom w:w="80" w:type="dxa"/>
              <w:end w:w="100" w:type="dxa"/>
            </w:tcMar>
          </w:tcPr>
          <w:p>
            <w:pPr>
              <w:spacing w:after="40" w:line="259" w:lineRule="auto"/>
            </w:pPr>
            <w:r>
              <w:rPr>
                <w:rFonts w:ascii="Arial" w:hAnsi="Arial"/>
                <w:sz w:val="19"/>
              </w:rPr>
              <w:t>Missing packaging specification</w:t>
            </w:r>
          </w:p>
        </w:tc>
        <w:tc>
          <w:tcPr>
            <w:tcW w:type="dxa" w:w="1632"/>
            <w:vAlign w:val="center"/>
            <w:tcMar>
              <w:top w:w="80" w:type="dxa"/>
              <w:start w:w="100" w:type="dxa"/>
              <w:bottom w:w="80" w:type="dxa"/>
              <w:end w:w="100" w:type="dxa"/>
            </w:tcMar>
          </w:tcPr>
          <w:p>
            <w:pPr>
              <w:spacing w:after="40" w:line="259" w:lineRule="auto"/>
            </w:pPr>
            <w:r>
              <w:rPr>
                <w:rFonts w:ascii="Arial" w:hAnsi="Arial"/>
                <w:sz w:val="19"/>
              </w:rPr>
              <w:t>No packaging document and no packaging instruction extracted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Packaging cost omission or wrong logistics assumption</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Request packaging spec or add risk reserve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CMP-02</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Completeness</w:t>
            </w:r>
          </w:p>
        </w:tc>
        <w:tc>
          <w:tcPr>
            <w:tcW w:type="dxa" w:w="1632"/>
            <w:vAlign w:val="center"/>
            <w:tcMar>
              <w:top w:w="80" w:type="dxa"/>
              <w:start w:w="100" w:type="dxa"/>
              <w:bottom w:w="80" w:type="dxa"/>
              <w:end w:w="100" w:type="dxa"/>
            </w:tcMar>
          </w:tcPr>
          <w:p>
            <w:pPr>
              <w:spacing w:after="40" w:line="259" w:lineRule="auto"/>
            </w:pPr>
            <w:r>
              <w:rPr>
                <w:rFonts w:ascii="Arial" w:hAnsi="Arial"/>
                <w:sz w:val="19"/>
              </w:rPr>
              <w:t>Missing test specification</w:t>
            </w:r>
          </w:p>
        </w:tc>
        <w:tc>
          <w:tcPr>
            <w:tcW w:type="dxa" w:w="1632"/>
            <w:vAlign w:val="center"/>
            <w:tcMar>
              <w:top w:w="80" w:type="dxa"/>
              <w:start w:w="100" w:type="dxa"/>
              <w:bottom w:w="80" w:type="dxa"/>
              <w:end w:w="100" w:type="dxa"/>
            </w:tcMar>
          </w:tcPr>
          <w:p>
            <w:pPr>
              <w:spacing w:after="40" w:line="259" w:lineRule="auto"/>
            </w:pPr>
            <w:r>
              <w:rPr>
                <w:rFonts w:ascii="Arial" w:hAnsi="Arial"/>
                <w:sz w:val="19"/>
              </w:rPr>
              <w:t>No DV/PV/test standard found for performance part</w:t>
            </w:r>
          </w:p>
        </w:tc>
        <w:tc>
          <w:tcPr>
            <w:tcW w:type="dxa" w:w="1632"/>
            <w:vAlign w:val="center"/>
            <w:tcMar>
              <w:top w:w="80" w:type="dxa"/>
              <w:start w:w="100" w:type="dxa"/>
              <w:bottom w:w="80" w:type="dxa"/>
              <w:end w:w="100" w:type="dxa"/>
            </w:tcMar>
          </w:tcPr>
          <w:p>
            <w:pPr>
              <w:spacing w:after="40" w:line="259" w:lineRule="auto"/>
            </w:pPr>
            <w:r>
              <w:rPr>
                <w:rFonts w:ascii="Arial" w:hAnsi="Arial"/>
                <w:sz w:val="19"/>
              </w:rPr>
              <w:t>Validation cost may be omitted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Ask customer for test scope before final quote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CMP-03</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Completeness</w:t>
            </w:r>
          </w:p>
        </w:tc>
        <w:tc>
          <w:tcPr>
            <w:tcW w:type="dxa" w:w="1632"/>
            <w:vAlign w:val="center"/>
            <w:tcMar>
              <w:top w:w="80" w:type="dxa"/>
              <w:start w:w="100" w:type="dxa"/>
              <w:bottom w:w="80" w:type="dxa"/>
              <w:end w:w="100" w:type="dxa"/>
            </w:tcMar>
          </w:tcPr>
          <w:p>
            <w:pPr>
              <w:spacing w:after="40" w:line="259" w:lineRule="auto"/>
            </w:pPr>
            <w:r>
              <w:rPr>
                <w:rFonts w:ascii="Arial" w:hAnsi="Arial"/>
                <w:sz w:val="19"/>
              </w:rPr>
              <w:t>Missing commercial template</w:t>
            </w:r>
          </w:p>
        </w:tc>
        <w:tc>
          <w:tcPr>
            <w:tcW w:type="dxa" w:w="1632"/>
            <w:vAlign w:val="center"/>
            <w:tcMar>
              <w:top w:w="80" w:type="dxa"/>
              <w:start w:w="100" w:type="dxa"/>
              <w:bottom w:w="80" w:type="dxa"/>
              <w:end w:w="100" w:type="dxa"/>
            </w:tcMar>
          </w:tcPr>
          <w:p>
            <w:pPr>
              <w:spacing w:after="40" w:line="259" w:lineRule="auto"/>
            </w:pPr>
            <w:r>
              <w:rPr>
                <w:rFonts w:ascii="Arial" w:hAnsi="Arial"/>
                <w:sz w:val="19"/>
              </w:rPr>
              <w:t>Customer RFQ references price template but no template file exists</w:t>
            </w:r>
          </w:p>
        </w:tc>
        <w:tc>
          <w:tcPr>
            <w:tcW w:type="dxa" w:w="1632"/>
            <w:vAlign w:val="center"/>
            <w:tcMar>
              <w:top w:w="80" w:type="dxa"/>
              <w:start w:w="100" w:type="dxa"/>
              <w:bottom w:w="80" w:type="dxa"/>
              <w:end w:w="100" w:type="dxa"/>
            </w:tcMar>
          </w:tcPr>
          <w:p>
            <w:pPr>
              <w:spacing w:after="40" w:line="259" w:lineRule="auto"/>
            </w:pPr>
            <w:r>
              <w:rPr>
                <w:rFonts w:ascii="Arial" w:hAnsi="Arial"/>
                <w:sz w:val="19"/>
              </w:rPr>
              <w:t>Submission risk and formatting non-compliance</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Confirm latest template before submission</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CMP-04</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Completeness</w:t>
            </w:r>
          </w:p>
        </w:tc>
        <w:tc>
          <w:tcPr>
            <w:tcW w:type="dxa" w:w="1632"/>
            <w:vAlign w:val="center"/>
            <w:tcMar>
              <w:top w:w="80" w:type="dxa"/>
              <w:start w:w="100" w:type="dxa"/>
              <w:bottom w:w="80" w:type="dxa"/>
              <w:end w:w="100" w:type="dxa"/>
            </w:tcMar>
          </w:tcPr>
          <w:p>
            <w:pPr>
              <w:spacing w:after="40" w:line="259" w:lineRule="auto"/>
            </w:pPr>
            <w:r>
              <w:rPr>
                <w:rFonts w:ascii="Arial" w:hAnsi="Arial"/>
                <w:sz w:val="19"/>
              </w:rPr>
              <w:t>No annual volume found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Annual demand missing or ambiguous</w:t>
            </w:r>
          </w:p>
        </w:tc>
        <w:tc>
          <w:tcPr>
            <w:tcW w:type="dxa" w:w="1632"/>
            <w:vAlign w:val="center"/>
            <w:tcMar>
              <w:top w:w="80" w:type="dxa"/>
              <w:start w:w="100" w:type="dxa"/>
              <w:bottom w:w="80" w:type="dxa"/>
              <w:end w:w="100" w:type="dxa"/>
            </w:tcMar>
          </w:tcPr>
          <w:p>
            <w:pPr>
              <w:spacing w:after="40" w:line="259" w:lineRule="auto"/>
            </w:pPr>
            <w:r>
              <w:rPr>
                <w:rFonts w:ascii="Arial" w:hAnsi="Arial"/>
                <w:sz w:val="19"/>
              </w:rPr>
              <w:t>Cannot size tooling/capacity or amortization accurately</w:t>
            </w:r>
          </w:p>
        </w:tc>
        <w:tc>
          <w:tcPr>
            <w:tcW w:type="dxa" w:w="1632"/>
            <w:vAlign w:val="center"/>
            <w:tcMar>
              <w:top w:w="80" w:type="dxa"/>
              <w:start w:w="100" w:type="dxa"/>
              <w:bottom w:w="80" w:type="dxa"/>
              <w:end w:w="100" w:type="dxa"/>
            </w:tcMar>
          </w:tcPr>
          <w:p>
            <w:pPr>
              <w:spacing w:after="40" w:line="259" w:lineRule="auto"/>
            </w:pPr>
            <w:r>
              <w:rPr>
                <w:rFonts w:ascii="Arial" w:hAnsi="Arial"/>
                <w:sz w:val="19"/>
              </w:rPr>
              <w:t>Escalate volume clarification and quote with assumption note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TEC-01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Technical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PPAP level above historical norm</w:t>
            </w:r>
          </w:p>
        </w:tc>
        <w:tc>
          <w:tcPr>
            <w:tcW w:type="dxa" w:w="1632"/>
            <w:vAlign w:val="center"/>
            <w:tcMar>
              <w:top w:w="80" w:type="dxa"/>
              <w:start w:w="100" w:type="dxa"/>
              <w:bottom w:w="80" w:type="dxa"/>
              <w:end w:w="100" w:type="dxa"/>
            </w:tcMar>
          </w:tcPr>
          <w:p>
            <w:pPr>
              <w:spacing w:after="40" w:line="259" w:lineRule="auto"/>
            </w:pPr>
            <w:r>
              <w:rPr>
                <w:rFonts w:ascii="Arial" w:hAnsi="Arial"/>
                <w:sz w:val="19"/>
              </w:rPr>
              <w:t>Current PPAP requirement &gt; average for similar jobs</w:t>
            </w:r>
          </w:p>
        </w:tc>
        <w:tc>
          <w:tcPr>
            <w:tcW w:type="dxa" w:w="1632"/>
            <w:vAlign w:val="center"/>
            <w:tcMar>
              <w:top w:w="80" w:type="dxa"/>
              <w:start w:w="100" w:type="dxa"/>
              <w:bottom w:w="80" w:type="dxa"/>
              <w:end w:w="100" w:type="dxa"/>
            </w:tcMar>
          </w:tcPr>
          <w:p>
            <w:pPr>
              <w:spacing w:after="40" w:line="259" w:lineRule="auto"/>
            </w:pPr>
            <w:r>
              <w:rPr>
                <w:rFonts w:ascii="Arial" w:hAnsi="Arial"/>
                <w:sz w:val="19"/>
              </w:rPr>
              <w:t>Higher launch and documentation cost</w:t>
            </w:r>
          </w:p>
        </w:tc>
        <w:tc>
          <w:tcPr>
            <w:tcW w:type="dxa" w:w="1632"/>
            <w:vAlign w:val="center"/>
            <w:tcMar>
              <w:top w:w="80" w:type="dxa"/>
              <w:start w:w="100" w:type="dxa"/>
              <w:bottom w:w="80" w:type="dxa"/>
              <w:end w:w="100" w:type="dxa"/>
            </w:tcMar>
          </w:tcPr>
          <w:p>
            <w:pPr>
              <w:spacing w:after="40" w:line="259" w:lineRule="auto"/>
            </w:pPr>
            <w:r>
              <w:rPr>
                <w:rFonts w:ascii="Arial" w:hAnsi="Arial"/>
                <w:sz w:val="19"/>
              </w:rPr>
              <w:t>Increase quality cost and launch resource estimate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TEC-02</w:t>
            </w:r>
          </w:p>
        </w:tc>
        <w:tc>
          <w:tcPr>
            <w:tcW w:type="dxa" w:w="1632"/>
            <w:vAlign w:val="center"/>
            <w:tcMar>
              <w:top w:w="80" w:type="dxa"/>
              <w:start w:w="100" w:type="dxa"/>
              <w:bottom w:w="80" w:type="dxa"/>
              <w:end w:w="100" w:type="dxa"/>
            </w:tcMar>
          </w:tcPr>
          <w:p>
            <w:pPr>
              <w:spacing w:after="40" w:line="259" w:lineRule="auto"/>
            </w:pPr>
            <w:r>
              <w:rPr>
                <w:rFonts w:ascii="Arial" w:hAnsi="Arial"/>
                <w:sz w:val="19"/>
              </w:rPr>
              <w:t>Technical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Tolerance significantly tighter than historical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Tolerance class tighter than similar projects</w:t>
            </w:r>
          </w:p>
        </w:tc>
        <w:tc>
          <w:tcPr>
            <w:tcW w:type="dxa" w:w="1632"/>
            <w:vAlign w:val="center"/>
            <w:tcMar>
              <w:top w:w="80" w:type="dxa"/>
              <w:start w:w="100" w:type="dxa"/>
              <w:bottom w:w="80" w:type="dxa"/>
              <w:end w:w="100" w:type="dxa"/>
            </w:tcMar>
          </w:tcPr>
          <w:p>
            <w:pPr>
              <w:spacing w:after="40" w:line="259" w:lineRule="auto"/>
            </w:pPr>
            <w:r>
              <w:rPr>
                <w:rFonts w:ascii="Arial" w:hAnsi="Arial"/>
                <w:sz w:val="19"/>
              </w:rPr>
              <w:t>Cycle time, process capability, and scrap risk increase</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Review process feasibility and add quality reserve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TEC-03</w:t>
            </w:r>
          </w:p>
        </w:tc>
        <w:tc>
          <w:tcPr>
            <w:tcW w:type="dxa" w:w="1632"/>
            <w:vAlign w:val="center"/>
            <w:tcMar>
              <w:top w:w="80" w:type="dxa"/>
              <w:start w:w="100" w:type="dxa"/>
              <w:bottom w:w="80" w:type="dxa"/>
              <w:end w:w="100" w:type="dxa"/>
            </w:tcMar>
          </w:tcPr>
          <w:p>
            <w:pPr>
              <w:spacing w:after="40" w:line="259" w:lineRule="auto"/>
            </w:pPr>
            <w:r>
              <w:rPr>
                <w:rFonts w:ascii="Arial" w:hAnsi="Arial"/>
                <w:sz w:val="19"/>
              </w:rPr>
              <w:t>Technical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New material not seen in historical database</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Material spec has no close historical match</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Material yield, tooling wear, or supplier risk unknown</w:t>
            </w:r>
          </w:p>
        </w:tc>
        <w:tc>
          <w:tcPr>
            <w:tcW w:type="dxa" w:w="1632"/>
            <w:vAlign w:val="center"/>
            <w:tcMar>
              <w:top w:w="80" w:type="dxa"/>
              <w:start w:w="100" w:type="dxa"/>
              <w:bottom w:w="80" w:type="dxa"/>
              <w:end w:w="100" w:type="dxa"/>
            </w:tcMar>
          </w:tcPr>
          <w:p>
            <w:pPr>
              <w:spacing w:after="40" w:line="259" w:lineRule="auto"/>
            </w:pPr>
            <w:r>
              <w:rPr>
                <w:rFonts w:ascii="Arial" w:hAnsi="Arial"/>
                <w:sz w:val="19"/>
              </w:rPr>
              <w:t>Trigger engineering review and supplier check</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TEC-04</w:t>
            </w:r>
          </w:p>
        </w:tc>
        <w:tc>
          <w:tcPr>
            <w:tcW w:type="dxa" w:w="1632"/>
            <w:vAlign w:val="center"/>
            <w:tcMar>
              <w:top w:w="80" w:type="dxa"/>
              <w:start w:w="100" w:type="dxa"/>
              <w:bottom w:w="80" w:type="dxa"/>
              <w:end w:w="100" w:type="dxa"/>
            </w:tcMar>
          </w:tcPr>
          <w:p>
            <w:pPr>
              <w:spacing w:after="40" w:line="259" w:lineRule="auto"/>
            </w:pPr>
            <w:r>
              <w:rPr>
                <w:rFonts w:ascii="Arial" w:hAnsi="Arial"/>
                <w:sz w:val="19"/>
              </w:rPr>
              <w:t>Technical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Surface finish requirement changed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Finish/spec differs from comparable parts</w:t>
            </w:r>
          </w:p>
        </w:tc>
        <w:tc>
          <w:tcPr>
            <w:tcW w:type="dxa" w:w="1632"/>
            <w:vAlign w:val="center"/>
            <w:tcMar>
              <w:top w:w="80" w:type="dxa"/>
              <w:start w:w="100" w:type="dxa"/>
              <w:bottom w:w="80" w:type="dxa"/>
              <w:end w:w="100" w:type="dxa"/>
            </w:tcMar>
          </w:tcPr>
          <w:p>
            <w:pPr>
              <w:spacing w:after="40" w:line="259" w:lineRule="auto"/>
            </w:pPr>
            <w:r>
              <w:rPr>
                <w:rFonts w:ascii="Arial" w:hAnsi="Arial"/>
                <w:sz w:val="19"/>
              </w:rPr>
              <w:t>Extra outside processing or cosmetic rejection risk</w:t>
            </w:r>
          </w:p>
        </w:tc>
        <w:tc>
          <w:tcPr>
            <w:tcW w:type="dxa" w:w="1632"/>
            <w:vAlign w:val="center"/>
            <w:tcMar>
              <w:top w:w="80" w:type="dxa"/>
              <w:start w:w="100" w:type="dxa"/>
              <w:bottom w:w="80" w:type="dxa"/>
              <w:end w:w="100" w:type="dxa"/>
            </w:tcMar>
          </w:tcPr>
          <w:p>
            <w:pPr>
              <w:spacing w:after="40" w:line="259" w:lineRule="auto"/>
            </w:pPr>
            <w:r>
              <w:rPr>
                <w:rFonts w:ascii="Arial" w:hAnsi="Arial"/>
                <w:sz w:val="19"/>
              </w:rPr>
              <w:t>Check vendor route and cost impact</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TEC-05</w:t>
            </w:r>
          </w:p>
        </w:tc>
        <w:tc>
          <w:tcPr>
            <w:tcW w:type="dxa" w:w="1632"/>
            <w:vAlign w:val="center"/>
            <w:tcMar>
              <w:top w:w="80" w:type="dxa"/>
              <w:start w:w="100" w:type="dxa"/>
              <w:bottom w:w="80" w:type="dxa"/>
              <w:end w:w="100" w:type="dxa"/>
            </w:tcMar>
          </w:tcPr>
          <w:p>
            <w:pPr>
              <w:spacing w:after="40" w:line="259" w:lineRule="auto"/>
            </w:pPr>
            <w:r>
              <w:rPr>
                <w:rFonts w:ascii="Arial" w:hAnsi="Arial"/>
                <w:sz w:val="19"/>
              </w:rPr>
              <w:t>Technical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Special characteristics present but no control plan assumption</w:t>
            </w:r>
          </w:p>
        </w:tc>
        <w:tc>
          <w:tcPr>
            <w:tcW w:type="dxa" w:w="1632"/>
            <w:vAlign w:val="center"/>
            <w:tcMar>
              <w:top w:w="80" w:type="dxa"/>
              <w:start w:w="100" w:type="dxa"/>
              <w:bottom w:w="80" w:type="dxa"/>
              <w:end w:w="100" w:type="dxa"/>
            </w:tcMar>
          </w:tcPr>
          <w:p>
            <w:pPr>
              <w:spacing w:after="40" w:line="259" w:lineRule="auto"/>
            </w:pPr>
            <w:r>
              <w:rPr>
                <w:rFonts w:ascii="Arial" w:hAnsi="Arial"/>
                <w:sz w:val="19"/>
              </w:rPr>
              <w:t>SC/CC/CTQ exists but quote lacks dedicated quality note</w:t>
            </w:r>
          </w:p>
        </w:tc>
        <w:tc>
          <w:tcPr>
            <w:tcW w:type="dxa" w:w="1632"/>
            <w:vAlign w:val="center"/>
            <w:tcMar>
              <w:top w:w="80" w:type="dxa"/>
              <w:start w:w="100" w:type="dxa"/>
              <w:bottom w:w="80" w:type="dxa"/>
              <w:end w:w="100" w:type="dxa"/>
            </w:tcMar>
          </w:tcPr>
          <w:p>
            <w:pPr>
              <w:spacing w:after="40" w:line="259" w:lineRule="auto"/>
            </w:pPr>
            <w:r>
              <w:rPr>
                <w:rFonts w:ascii="Arial" w:hAnsi="Arial"/>
                <w:sz w:val="19"/>
              </w:rPr>
              <w:t>Inspection effort likely understated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control plan, gauge, and inspection cost</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TEC-06</w:t>
            </w:r>
          </w:p>
        </w:tc>
        <w:tc>
          <w:tcPr>
            <w:tcW w:type="dxa" w:w="1632"/>
            <w:vAlign w:val="center"/>
            <w:tcMar>
              <w:top w:w="80" w:type="dxa"/>
              <w:start w:w="100" w:type="dxa"/>
              <w:bottom w:w="80" w:type="dxa"/>
              <w:end w:w="100" w:type="dxa"/>
            </w:tcMar>
          </w:tcPr>
          <w:p>
            <w:pPr>
              <w:spacing w:after="40" w:line="259" w:lineRule="auto"/>
            </w:pPr>
            <w:r>
              <w:rPr>
                <w:rFonts w:ascii="Arial" w:hAnsi="Arial"/>
                <w:sz w:val="19"/>
              </w:rPr>
              <w:t>Technical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3D model missing for complex part</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Complexity high but no 3D model in package</w:t>
            </w:r>
          </w:p>
        </w:tc>
        <w:tc>
          <w:tcPr>
            <w:tcW w:type="dxa" w:w="1632"/>
            <w:vAlign w:val="center"/>
            <w:tcMar>
              <w:top w:w="80" w:type="dxa"/>
              <w:start w:w="100" w:type="dxa"/>
              <w:bottom w:w="80" w:type="dxa"/>
              <w:end w:w="100" w:type="dxa"/>
            </w:tcMar>
          </w:tcPr>
          <w:p>
            <w:pPr>
              <w:spacing w:after="40" w:line="259" w:lineRule="auto"/>
            </w:pPr>
            <w:r>
              <w:rPr>
                <w:rFonts w:ascii="Arial" w:hAnsi="Arial"/>
                <w:sz w:val="19"/>
              </w:rPr>
              <w:t>Feasibility risk and longer engineering time</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Request model or quote with explicit limitation</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COM-01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Commercial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Annual price down requested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RFQ includes annual reduction clause</w:t>
            </w:r>
          </w:p>
        </w:tc>
        <w:tc>
          <w:tcPr>
            <w:tcW w:type="dxa" w:w="1632"/>
            <w:vAlign w:val="center"/>
            <w:tcMar>
              <w:top w:w="80" w:type="dxa"/>
              <w:start w:w="100" w:type="dxa"/>
              <w:bottom w:w="80" w:type="dxa"/>
              <w:end w:w="100" w:type="dxa"/>
            </w:tcMar>
          </w:tcPr>
          <w:p>
            <w:pPr>
              <w:spacing w:after="40" w:line="259" w:lineRule="auto"/>
            </w:pPr>
            <w:r>
              <w:rPr>
                <w:rFonts w:ascii="Arial" w:hAnsi="Arial"/>
                <w:sz w:val="19"/>
              </w:rPr>
              <w:t>Future margin erosion if not modeled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Reflect annual price down in business case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COM-02</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Commercial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Payment terms worse than standard</w:t>
            </w:r>
          </w:p>
        </w:tc>
        <w:tc>
          <w:tcPr>
            <w:tcW w:type="dxa" w:w="1632"/>
            <w:vAlign w:val="center"/>
            <w:tcMar>
              <w:top w:w="80" w:type="dxa"/>
              <w:start w:w="100" w:type="dxa"/>
              <w:bottom w:w="80" w:type="dxa"/>
              <w:end w:w="100" w:type="dxa"/>
            </w:tcMar>
          </w:tcPr>
          <w:p>
            <w:pPr>
              <w:spacing w:after="40" w:line="259" w:lineRule="auto"/>
            </w:pPr>
            <w:r>
              <w:rPr>
                <w:rFonts w:ascii="Arial" w:hAnsi="Arial"/>
                <w:sz w:val="19"/>
              </w:rPr>
              <w:t>Payment terms days exceed internal threshold</w:t>
            </w:r>
          </w:p>
        </w:tc>
        <w:tc>
          <w:tcPr>
            <w:tcW w:type="dxa" w:w="1632"/>
            <w:vAlign w:val="center"/>
            <w:tcMar>
              <w:top w:w="80" w:type="dxa"/>
              <w:start w:w="100" w:type="dxa"/>
              <w:bottom w:w="80" w:type="dxa"/>
              <w:end w:w="100" w:type="dxa"/>
            </w:tcMar>
          </w:tcPr>
          <w:p>
            <w:pPr>
              <w:spacing w:after="40" w:line="259" w:lineRule="auto"/>
            </w:pPr>
            <w:r>
              <w:rPr>
                <w:rFonts w:ascii="Arial" w:hAnsi="Arial"/>
                <w:sz w:val="19"/>
              </w:rPr>
              <w:t>Working capital burden increases</w:t>
            </w:r>
          </w:p>
        </w:tc>
        <w:tc>
          <w:tcPr>
            <w:tcW w:type="dxa" w:w="1632"/>
            <w:vAlign w:val="center"/>
            <w:tcMar>
              <w:top w:w="80" w:type="dxa"/>
              <w:start w:w="100" w:type="dxa"/>
              <w:bottom w:w="80" w:type="dxa"/>
              <w:end w:w="100" w:type="dxa"/>
            </w:tcMar>
          </w:tcPr>
          <w:p>
            <w:pPr>
              <w:spacing w:after="40" w:line="259" w:lineRule="auto"/>
            </w:pPr>
            <w:r>
              <w:rPr>
                <w:rFonts w:ascii="Arial" w:hAnsi="Arial"/>
                <w:sz w:val="19"/>
              </w:rPr>
              <w:t>Escalate finance review or adjust price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COM-03</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Commercial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Currency mismatch vs cost base</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Quote currency differs from main purchase currency or cost base</w:t>
            </w:r>
          </w:p>
        </w:tc>
        <w:tc>
          <w:tcPr>
            <w:tcW w:type="dxa" w:w="1632"/>
            <w:vAlign w:val="center"/>
            <w:tcMar>
              <w:top w:w="80" w:type="dxa"/>
              <w:start w:w="100" w:type="dxa"/>
              <w:bottom w:w="80" w:type="dxa"/>
              <w:end w:w="100" w:type="dxa"/>
            </w:tcMar>
          </w:tcPr>
          <w:p>
            <w:pPr>
              <w:spacing w:after="40" w:line="259" w:lineRule="auto"/>
            </w:pPr>
            <w:r>
              <w:rPr>
                <w:rFonts w:ascii="Arial" w:hAnsi="Arial"/>
                <w:sz w:val="19"/>
              </w:rPr>
              <w:t>FX risk not covered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FX assumption or hedging note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COM-04</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Commercial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Tooling payment terms undefined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Tooling required but reimbursement terms absent</w:t>
            </w:r>
          </w:p>
        </w:tc>
        <w:tc>
          <w:tcPr>
            <w:tcW w:type="dxa" w:w="1632"/>
            <w:vAlign w:val="center"/>
            <w:tcMar>
              <w:top w:w="80" w:type="dxa"/>
              <w:start w:w="100" w:type="dxa"/>
              <w:bottom w:w="80" w:type="dxa"/>
              <w:end w:w="100" w:type="dxa"/>
            </w:tcMar>
          </w:tcPr>
          <w:p>
            <w:pPr>
              <w:spacing w:after="40" w:line="259" w:lineRule="auto"/>
            </w:pPr>
            <w:r>
              <w:rPr>
                <w:rFonts w:ascii="Arial" w:hAnsi="Arial"/>
                <w:sz w:val="19"/>
              </w:rPr>
              <w:t>Cash exposure on launch investment</w:t>
            </w:r>
          </w:p>
        </w:tc>
        <w:tc>
          <w:tcPr>
            <w:tcW w:type="dxa" w:w="1632"/>
            <w:vAlign w:val="center"/>
            <w:tcMar>
              <w:top w:w="80" w:type="dxa"/>
              <w:start w:w="100" w:type="dxa"/>
              <w:bottom w:w="80" w:type="dxa"/>
              <w:end w:w="100" w:type="dxa"/>
            </w:tcMar>
          </w:tcPr>
          <w:p>
            <w:pPr>
              <w:spacing w:after="40" w:line="259" w:lineRule="auto"/>
            </w:pPr>
            <w:r>
              <w:rPr>
                <w:rFonts w:ascii="Arial" w:hAnsi="Arial"/>
                <w:sz w:val="19"/>
              </w:rPr>
              <w:t>Clarify tooling payment milestone before acceptance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QLT-01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Quality</w:t>
            </w:r>
          </w:p>
        </w:tc>
        <w:tc>
          <w:tcPr>
            <w:tcW w:type="dxa" w:w="1632"/>
            <w:vAlign w:val="center"/>
            <w:tcMar>
              <w:top w:w="80" w:type="dxa"/>
              <w:start w:w="100" w:type="dxa"/>
              <w:bottom w:w="80" w:type="dxa"/>
              <w:end w:w="100" w:type="dxa"/>
            </w:tcMar>
          </w:tcPr>
          <w:p>
            <w:pPr>
              <w:spacing w:after="40" w:line="259" w:lineRule="auto"/>
            </w:pPr>
            <w:r>
              <w:rPr>
                <w:rFonts w:ascii="Arial" w:hAnsi="Arial"/>
                <w:sz w:val="19"/>
              </w:rPr>
              <w:t>Gauge or fixture requirement omitted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Customer requests checking fixture / gauge but quote line has zero fixture cost</w:t>
            </w:r>
          </w:p>
        </w:tc>
        <w:tc>
          <w:tcPr>
            <w:tcW w:type="dxa" w:w="1632"/>
            <w:vAlign w:val="center"/>
            <w:tcMar>
              <w:top w:w="80" w:type="dxa"/>
              <w:start w:w="100" w:type="dxa"/>
              <w:bottom w:w="80" w:type="dxa"/>
              <w:end w:w="100" w:type="dxa"/>
            </w:tcMar>
          </w:tcPr>
          <w:p>
            <w:pPr>
              <w:spacing w:after="40" w:line="259" w:lineRule="auto"/>
            </w:pPr>
            <w:r>
              <w:rPr>
                <w:rFonts w:ascii="Arial" w:hAnsi="Arial"/>
                <w:sz w:val="19"/>
              </w:rPr>
              <w:t>Launch capex omission</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fixture line item and lead time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QLT-02</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Quality</w:t>
            </w:r>
          </w:p>
        </w:tc>
        <w:tc>
          <w:tcPr>
            <w:tcW w:type="dxa" w:w="1632"/>
            <w:vAlign w:val="center"/>
            <w:tcMar>
              <w:top w:w="80" w:type="dxa"/>
              <w:start w:w="100" w:type="dxa"/>
              <w:bottom w:w="80" w:type="dxa"/>
              <w:end w:w="100" w:type="dxa"/>
            </w:tcMar>
          </w:tcPr>
          <w:p>
            <w:pPr>
              <w:spacing w:after="40" w:line="259" w:lineRule="auto"/>
            </w:pPr>
            <w:r>
              <w:rPr>
                <w:rFonts w:ascii="Arial" w:hAnsi="Arial"/>
                <w:sz w:val="19"/>
              </w:rPr>
              <w:t>Full dimensional report likely required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PPAP or drawing notes indicate full layout requirement</w:t>
            </w:r>
          </w:p>
        </w:tc>
        <w:tc>
          <w:tcPr>
            <w:tcW w:type="dxa" w:w="1632"/>
            <w:vAlign w:val="center"/>
            <w:tcMar>
              <w:top w:w="80" w:type="dxa"/>
              <w:start w:w="100" w:type="dxa"/>
              <w:bottom w:w="80" w:type="dxa"/>
              <w:end w:w="100" w:type="dxa"/>
            </w:tcMar>
          </w:tcPr>
          <w:p>
            <w:pPr>
              <w:spacing w:after="40" w:line="259" w:lineRule="auto"/>
            </w:pPr>
            <w:r>
              <w:rPr>
                <w:rFonts w:ascii="Arial" w:hAnsi="Arial"/>
                <w:sz w:val="19"/>
              </w:rPr>
              <w:t>Metrology labor and outsourcing may be omitted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first article and dimensional report cost</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QLT-03</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Quality</w:t>
            </w:r>
          </w:p>
        </w:tc>
        <w:tc>
          <w:tcPr>
            <w:tcW w:type="dxa" w:w="1632"/>
            <w:vAlign w:val="center"/>
            <w:tcMar>
              <w:top w:w="80" w:type="dxa"/>
              <w:start w:w="100" w:type="dxa"/>
              <w:bottom w:w="80" w:type="dxa"/>
              <w:end w:w="100" w:type="dxa"/>
            </w:tcMar>
          </w:tcPr>
          <w:p>
            <w:pPr>
              <w:spacing w:after="40" w:line="259" w:lineRule="auto"/>
            </w:pPr>
            <w:r>
              <w:rPr>
                <w:rFonts w:ascii="Arial" w:hAnsi="Arial"/>
                <w:sz w:val="19"/>
              </w:rPr>
              <w:t>IMDS / REACH / RoHS compliance requested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Compliance requirement present but no admin/validation allowance</w:t>
            </w:r>
          </w:p>
        </w:tc>
        <w:tc>
          <w:tcPr>
            <w:tcW w:type="dxa" w:w="1632"/>
            <w:vAlign w:val="center"/>
            <w:tcMar>
              <w:top w:w="80" w:type="dxa"/>
              <w:start w:w="100" w:type="dxa"/>
              <w:bottom w:w="80" w:type="dxa"/>
              <w:end w:w="100" w:type="dxa"/>
            </w:tcMar>
          </w:tcPr>
          <w:p>
            <w:pPr>
              <w:spacing w:after="40" w:line="259" w:lineRule="auto"/>
            </w:pPr>
            <w:r>
              <w:rPr>
                <w:rFonts w:ascii="Arial" w:hAnsi="Arial"/>
                <w:sz w:val="19"/>
              </w:rPr>
              <w:t>Hidden launch admin cost</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compliance activity to NRE or overhead</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LOG-01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Logistics</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Returnable packaging likely but not costed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Packaging mentions returnable racks/totes but packaging cost is zero</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Container and tracking cost omitted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rack/tote and management cost</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LOG-02</w:t>
            </w:r>
          </w:p>
        </w:tc>
        <w:tc>
          <w:tcPr>
            <w:tcW w:type="dxa" w:w="1632"/>
            <w:vAlign w:val="center"/>
            <w:tcMar>
              <w:top w:w="80" w:type="dxa"/>
              <w:start w:w="100" w:type="dxa"/>
              <w:bottom w:w="80" w:type="dxa"/>
              <w:end w:w="100" w:type="dxa"/>
            </w:tcMar>
          </w:tcPr>
          <w:p>
            <w:pPr>
              <w:spacing w:after="40" w:line="259" w:lineRule="auto"/>
            </w:pPr>
            <w:r>
              <w:rPr>
                <w:rFonts w:ascii="Arial" w:hAnsi="Arial"/>
                <w:sz w:val="19"/>
              </w:rPr>
              <w:t>Logistics</w:t>
            </w:r>
          </w:p>
        </w:tc>
        <w:tc>
          <w:tcPr>
            <w:tcW w:type="dxa" w:w="1632"/>
            <w:vAlign w:val="center"/>
            <w:tcMar>
              <w:top w:w="80" w:type="dxa"/>
              <w:start w:w="100" w:type="dxa"/>
              <w:bottom w:w="80" w:type="dxa"/>
              <w:end w:w="100" w:type="dxa"/>
            </w:tcMar>
          </w:tcPr>
          <w:p>
            <w:pPr>
              <w:spacing w:after="40" w:line="259" w:lineRule="auto"/>
            </w:pPr>
            <w:r>
              <w:rPr>
                <w:rFonts w:ascii="Arial" w:hAnsi="Arial"/>
                <w:sz w:val="19"/>
              </w:rPr>
              <w:t>DDP or delivered pricing requested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Incoterm requires supplier to manage destination freight</w:t>
            </w:r>
          </w:p>
        </w:tc>
        <w:tc>
          <w:tcPr>
            <w:tcW w:type="dxa" w:w="1632"/>
            <w:vAlign w:val="center"/>
            <w:tcMar>
              <w:top w:w="80" w:type="dxa"/>
              <w:start w:w="100" w:type="dxa"/>
              <w:bottom w:w="80" w:type="dxa"/>
              <w:end w:w="100" w:type="dxa"/>
            </w:tcMar>
          </w:tcPr>
          <w:p>
            <w:pPr>
              <w:spacing w:after="40" w:line="259" w:lineRule="auto"/>
            </w:pPr>
            <w:r>
              <w:rPr>
                <w:rFonts w:ascii="Arial" w:hAnsi="Arial"/>
                <w:sz w:val="19"/>
              </w:rPr>
              <w:t>Freight/customs not fully captured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Rebuild logistics cost model</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LOG-03</w:t>
            </w:r>
          </w:p>
        </w:tc>
        <w:tc>
          <w:tcPr>
            <w:tcW w:type="dxa" w:w="1632"/>
            <w:vAlign w:val="center"/>
            <w:tcMar>
              <w:top w:w="80" w:type="dxa"/>
              <w:start w:w="100" w:type="dxa"/>
              <w:bottom w:w="80" w:type="dxa"/>
              <w:end w:w="100" w:type="dxa"/>
            </w:tcMar>
          </w:tcPr>
          <w:p>
            <w:pPr>
              <w:spacing w:after="40" w:line="259" w:lineRule="auto"/>
            </w:pPr>
            <w:r>
              <w:rPr>
                <w:rFonts w:ascii="Arial" w:hAnsi="Arial"/>
                <w:sz w:val="19"/>
              </w:rPr>
              <w:t>Logistics</w:t>
            </w:r>
          </w:p>
        </w:tc>
        <w:tc>
          <w:tcPr>
            <w:tcW w:type="dxa" w:w="1632"/>
            <w:vAlign w:val="center"/>
            <w:tcMar>
              <w:top w:w="80" w:type="dxa"/>
              <w:start w:w="100" w:type="dxa"/>
              <w:bottom w:w="80" w:type="dxa"/>
              <w:end w:w="100" w:type="dxa"/>
            </w:tcMar>
          </w:tcPr>
          <w:p>
            <w:pPr>
              <w:spacing w:after="40" w:line="259" w:lineRule="auto"/>
            </w:pPr>
            <w:r>
              <w:rPr>
                <w:rFonts w:ascii="Arial" w:hAnsi="Arial"/>
                <w:sz w:val="19"/>
              </w:rPr>
              <w:t>Label/barcode requirement detected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Customer packaging standard requires label format or barcode</w:t>
            </w:r>
          </w:p>
        </w:tc>
        <w:tc>
          <w:tcPr>
            <w:tcW w:type="dxa" w:w="1632"/>
            <w:vAlign w:val="center"/>
            <w:tcMar>
              <w:top w:w="80" w:type="dxa"/>
              <w:start w:w="100" w:type="dxa"/>
              <w:bottom w:w="80" w:type="dxa"/>
              <w:end w:w="100" w:type="dxa"/>
            </w:tcMar>
          </w:tcPr>
          <w:p>
            <w:pPr>
              <w:spacing w:after="40" w:line="259" w:lineRule="auto"/>
            </w:pPr>
            <w:r>
              <w:rPr>
                <w:rFonts w:ascii="Arial" w:hAnsi="Arial"/>
                <w:sz w:val="19"/>
              </w:rPr>
              <w:t>Consumables and setup cost omitted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label and packaging process cost</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MFG-01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Manufacturing</w:t>
            </w:r>
          </w:p>
        </w:tc>
        <w:tc>
          <w:tcPr>
            <w:tcW w:type="dxa" w:w="1632"/>
            <w:vAlign w:val="center"/>
            <w:tcMar>
              <w:top w:w="80" w:type="dxa"/>
              <w:start w:w="100" w:type="dxa"/>
              <w:bottom w:w="80" w:type="dxa"/>
              <w:end w:w="100" w:type="dxa"/>
            </w:tcMar>
          </w:tcPr>
          <w:p>
            <w:pPr>
              <w:spacing w:after="40" w:line="259" w:lineRule="auto"/>
            </w:pPr>
            <w:r>
              <w:rPr>
                <w:rFonts w:ascii="Arial" w:hAnsi="Arial"/>
                <w:sz w:val="19"/>
              </w:rPr>
              <w:t>Capacity below requested annual volume</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Quoted capacity per year &lt; RFQ annual volume</w:t>
            </w:r>
          </w:p>
        </w:tc>
        <w:tc>
          <w:tcPr>
            <w:tcW w:type="dxa" w:w="1632"/>
            <w:vAlign w:val="center"/>
            <w:tcMar>
              <w:top w:w="80" w:type="dxa"/>
              <w:start w:w="100" w:type="dxa"/>
              <w:bottom w:w="80" w:type="dxa"/>
              <w:end w:w="100" w:type="dxa"/>
            </w:tcMar>
          </w:tcPr>
          <w:p>
            <w:pPr>
              <w:spacing w:after="40" w:line="259" w:lineRule="auto"/>
            </w:pPr>
            <w:r>
              <w:rPr>
                <w:rFonts w:ascii="Arial" w:hAnsi="Arial"/>
                <w:sz w:val="19"/>
              </w:rPr>
              <w:t>Award risk or overtime dependence</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Recalculate line loading and capex need</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MFG-02</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Manufacturing</w:t>
            </w:r>
          </w:p>
        </w:tc>
        <w:tc>
          <w:tcPr>
            <w:tcW w:type="dxa" w:w="1632"/>
            <w:vAlign w:val="center"/>
            <w:tcMar>
              <w:top w:w="80" w:type="dxa"/>
              <w:start w:w="100" w:type="dxa"/>
              <w:bottom w:w="80" w:type="dxa"/>
              <w:end w:w="100" w:type="dxa"/>
            </w:tcMar>
          </w:tcPr>
          <w:p>
            <w:pPr>
              <w:spacing w:after="40" w:line="259" w:lineRule="auto"/>
            </w:pPr>
            <w:r>
              <w:rPr>
                <w:rFonts w:ascii="Arial" w:hAnsi="Arial"/>
                <w:sz w:val="19"/>
              </w:rPr>
              <w:t>Scrap rate too optimistic</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Quoted scrap lower than historical average for similar process</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Margin risk from unrealistically low waste assumption</w:t>
            </w:r>
          </w:p>
        </w:tc>
        <w:tc>
          <w:tcPr>
            <w:tcW w:type="dxa" w:w="1632"/>
            <w:vAlign w:val="center"/>
            <w:tcMar>
              <w:top w:w="80" w:type="dxa"/>
              <w:start w:w="100" w:type="dxa"/>
              <w:bottom w:w="80" w:type="dxa"/>
              <w:end w:w="100" w:type="dxa"/>
            </w:tcMar>
          </w:tcPr>
          <w:p>
            <w:pPr>
              <w:spacing w:after="40" w:line="259" w:lineRule="auto"/>
            </w:pPr>
            <w:r>
              <w:rPr>
                <w:rFonts w:ascii="Arial" w:hAnsi="Arial"/>
                <w:sz w:val="19"/>
              </w:rPr>
              <w:t>Benchmark against historical scrap and revise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MFG-03</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Manufacturing</w:t>
            </w:r>
          </w:p>
        </w:tc>
        <w:tc>
          <w:tcPr>
            <w:tcW w:type="dxa" w:w="1632"/>
            <w:vAlign w:val="center"/>
            <w:tcMar>
              <w:top w:w="80" w:type="dxa"/>
              <w:start w:w="100" w:type="dxa"/>
              <w:bottom w:w="80" w:type="dxa"/>
              <w:end w:w="100" w:type="dxa"/>
            </w:tcMar>
          </w:tcPr>
          <w:p>
            <w:pPr>
              <w:spacing w:after="40" w:line="259" w:lineRule="auto"/>
            </w:pPr>
            <w:r>
              <w:rPr>
                <w:rFonts w:ascii="Arial" w:hAnsi="Arial"/>
                <w:sz w:val="19"/>
              </w:rPr>
              <w:t>Cycle time outlier</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Quoted cycle time materially below comparable jobs</w:t>
            </w:r>
          </w:p>
        </w:tc>
        <w:tc>
          <w:tcPr>
            <w:tcW w:type="dxa" w:w="1632"/>
            <w:vAlign w:val="center"/>
            <w:tcMar>
              <w:top w:w="80" w:type="dxa"/>
              <w:start w:w="100" w:type="dxa"/>
              <w:bottom w:w="80" w:type="dxa"/>
              <w:end w:w="100" w:type="dxa"/>
            </w:tcMar>
          </w:tcPr>
          <w:p>
            <w:pPr>
              <w:spacing w:after="40" w:line="259" w:lineRule="auto"/>
            </w:pPr>
            <w:r>
              <w:rPr>
                <w:rFonts w:ascii="Arial" w:hAnsi="Arial"/>
                <w:sz w:val="19"/>
              </w:rPr>
              <w:t>Understated conversion cost</w:t>
            </w:r>
          </w:p>
        </w:tc>
        <w:tc>
          <w:tcPr>
            <w:tcW w:type="dxa" w:w="1632"/>
            <w:vAlign w:val="center"/>
            <w:tcMar>
              <w:top w:w="80" w:type="dxa"/>
              <w:start w:w="100" w:type="dxa"/>
              <w:bottom w:w="80" w:type="dxa"/>
              <w:end w:w="100" w:type="dxa"/>
            </w:tcMar>
          </w:tcPr>
          <w:p>
            <w:pPr>
              <w:spacing w:after="40" w:line="259" w:lineRule="auto"/>
            </w:pPr>
            <w:r>
              <w:rPr>
                <w:rFonts w:ascii="Arial" w:hAnsi="Arial"/>
                <w:sz w:val="19"/>
              </w:rPr>
              <w:t>Validate with manufacturing engineering</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MFG-04</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Manufacturing</w:t>
            </w:r>
          </w:p>
        </w:tc>
        <w:tc>
          <w:tcPr>
            <w:tcW w:type="dxa" w:w="1632"/>
            <w:vAlign w:val="center"/>
            <w:tcMar>
              <w:top w:w="80" w:type="dxa"/>
              <w:start w:w="100" w:type="dxa"/>
              <w:bottom w:w="80" w:type="dxa"/>
              <w:end w:w="100" w:type="dxa"/>
            </w:tcMar>
          </w:tcPr>
          <w:p>
            <w:pPr>
              <w:spacing w:after="40" w:line="259" w:lineRule="auto"/>
            </w:pPr>
            <w:r>
              <w:rPr>
                <w:rFonts w:ascii="Arial" w:hAnsi="Arial"/>
                <w:sz w:val="19"/>
              </w:rPr>
              <w:t>No maintenance/tool wear allowance</w:t>
            </w:r>
          </w:p>
        </w:tc>
        <w:tc>
          <w:tcPr>
            <w:tcW w:type="dxa" w:w="1632"/>
            <w:vAlign w:val="center"/>
            <w:tcMar>
              <w:top w:w="80" w:type="dxa"/>
              <w:start w:w="100" w:type="dxa"/>
              <w:bottom w:w="80" w:type="dxa"/>
              <w:end w:w="100" w:type="dxa"/>
            </w:tcMar>
          </w:tcPr>
          <w:p>
            <w:pPr>
              <w:spacing w:after="40" w:line="259" w:lineRule="auto"/>
            </w:pPr>
            <w:r>
              <w:rPr>
                <w:rFonts w:ascii="Arial" w:hAnsi="Arial"/>
                <w:sz w:val="19"/>
              </w:rPr>
              <w:t>High-volume or hard material part lacks tooling wear reserve</w:t>
            </w:r>
          </w:p>
        </w:tc>
        <w:tc>
          <w:tcPr>
            <w:tcW w:type="dxa" w:w="1632"/>
            <w:vAlign w:val="center"/>
            <w:tcMar>
              <w:top w:w="80" w:type="dxa"/>
              <w:start w:w="100" w:type="dxa"/>
              <w:bottom w:w="80" w:type="dxa"/>
              <w:end w:w="100" w:type="dxa"/>
            </w:tcMar>
          </w:tcPr>
          <w:p>
            <w:pPr>
              <w:spacing w:after="40" w:line="259" w:lineRule="auto"/>
            </w:pPr>
            <w:r>
              <w:rPr>
                <w:rFonts w:ascii="Arial" w:hAnsi="Arial"/>
                <w:sz w:val="19"/>
              </w:rPr>
              <w:t>Tool maintenance cost omitted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maintenance allowance or tool life model</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HIS-01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Historical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Quote below similar historical floor</w:t>
            </w:r>
          </w:p>
        </w:tc>
        <w:tc>
          <w:tcPr>
            <w:tcW w:type="dxa" w:w="1632"/>
            <w:vAlign w:val="center"/>
            <w:tcMar>
              <w:top w:w="80" w:type="dxa"/>
              <w:start w:w="100" w:type="dxa"/>
              <w:bottom w:w="80" w:type="dxa"/>
              <w:end w:w="100" w:type="dxa"/>
            </w:tcMar>
          </w:tcPr>
          <w:p>
            <w:pPr>
              <w:spacing w:after="40" w:line="259" w:lineRule="auto"/>
            </w:pPr>
            <w:r>
              <w:rPr>
                <w:rFonts w:ascii="Arial" w:hAnsi="Arial"/>
                <w:sz w:val="19"/>
              </w:rPr>
              <w:t>Current unit price below lower quartile of comparable awarded jobs</w:t>
            </w:r>
          </w:p>
        </w:tc>
        <w:tc>
          <w:tcPr>
            <w:tcW w:type="dxa" w:w="1632"/>
            <w:vAlign w:val="center"/>
            <w:tcMar>
              <w:top w:w="80" w:type="dxa"/>
              <w:start w:w="100" w:type="dxa"/>
              <w:bottom w:w="80" w:type="dxa"/>
              <w:end w:w="100" w:type="dxa"/>
            </w:tcMar>
          </w:tcPr>
          <w:p>
            <w:pPr>
              <w:spacing w:after="40" w:line="259" w:lineRule="auto"/>
            </w:pPr>
            <w:r>
              <w:rPr>
                <w:rFonts w:ascii="Arial" w:hAnsi="Arial"/>
                <w:sz w:val="19"/>
              </w:rPr>
              <w:t>High underquote risk</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Require management review before submission</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HIS-02</w:t>
            </w:r>
          </w:p>
        </w:tc>
        <w:tc>
          <w:tcPr>
            <w:tcW w:type="dxa" w:w="1632"/>
            <w:vAlign w:val="center"/>
            <w:tcMar>
              <w:top w:w="80" w:type="dxa"/>
              <w:start w:w="100" w:type="dxa"/>
              <w:bottom w:w="80" w:type="dxa"/>
              <w:end w:w="100" w:type="dxa"/>
            </w:tcMar>
          </w:tcPr>
          <w:p>
            <w:pPr>
              <w:spacing w:after="40" w:line="259" w:lineRule="auto"/>
            </w:pPr>
            <w:r>
              <w:rPr>
                <w:rFonts w:ascii="Arial" w:hAnsi="Arial"/>
                <w:sz w:val="19"/>
              </w:rPr>
              <w:t>Historical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Margin below realized margin benchmark</w:t>
            </w:r>
          </w:p>
        </w:tc>
        <w:tc>
          <w:tcPr>
            <w:tcW w:type="dxa" w:w="1632"/>
            <w:vAlign w:val="center"/>
            <w:tcMar>
              <w:top w:w="80" w:type="dxa"/>
              <w:start w:w="100" w:type="dxa"/>
              <w:bottom w:w="80" w:type="dxa"/>
              <w:end w:w="100" w:type="dxa"/>
            </w:tcMar>
          </w:tcPr>
          <w:p>
            <w:pPr>
              <w:spacing w:after="40" w:line="259" w:lineRule="auto"/>
            </w:pPr>
            <w:r>
              <w:rPr>
                <w:rFonts w:ascii="Arial" w:hAnsi="Arial"/>
                <w:sz w:val="19"/>
              </w:rPr>
              <w:t>Planned margin lower than historical realized margin for similar parts</w:t>
            </w:r>
          </w:p>
        </w:tc>
        <w:tc>
          <w:tcPr>
            <w:tcW w:type="dxa" w:w="1632"/>
            <w:vAlign w:val="center"/>
            <w:tcMar>
              <w:top w:w="80" w:type="dxa"/>
              <w:start w:w="100" w:type="dxa"/>
              <w:bottom w:w="80" w:type="dxa"/>
              <w:end w:w="100" w:type="dxa"/>
            </w:tcMar>
          </w:tcPr>
          <w:p>
            <w:pPr>
              <w:spacing w:after="40" w:line="259" w:lineRule="auto"/>
            </w:pPr>
            <w:r>
              <w:rPr>
                <w:rFonts w:ascii="Arial" w:hAnsi="Arial"/>
                <w:sz w:val="19"/>
              </w:rPr>
              <w:t>Profitability risk</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Review whether assumptions are complete</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HIS-03</w:t>
            </w:r>
          </w:p>
        </w:tc>
        <w:tc>
          <w:tcPr>
            <w:tcW w:type="dxa" w:w="1632"/>
            <w:vAlign w:val="center"/>
            <w:tcMar>
              <w:top w:w="80" w:type="dxa"/>
              <w:start w:w="100" w:type="dxa"/>
              <w:bottom w:w="80" w:type="dxa"/>
              <w:end w:w="100" w:type="dxa"/>
            </w:tcMar>
          </w:tcPr>
          <w:p>
            <w:pPr>
              <w:spacing w:after="40" w:line="259" w:lineRule="auto"/>
            </w:pPr>
            <w:r>
              <w:rPr>
                <w:rFonts w:ascii="Arial" w:hAnsi="Arial"/>
                <w:sz w:val="19"/>
              </w:rPr>
              <w:t>Historical</w:t>
            </w:r>
          </w:p>
        </w:tc>
        <w:tc>
          <w:tcPr>
            <w:tcW w:type="dxa" w:w="1632"/>
            <w:vAlign w:val="center"/>
            <w:tcMar>
              <w:top w:w="80" w:type="dxa"/>
              <w:start w:w="100" w:type="dxa"/>
              <w:bottom w:w="80" w:type="dxa"/>
              <w:end w:w="100" w:type="dxa"/>
            </w:tcMar>
          </w:tcPr>
          <w:p>
            <w:pPr>
              <w:spacing w:after="40" w:line="259" w:lineRule="auto"/>
            </w:pPr>
            <w:r>
              <w:rPr>
                <w:rFonts w:ascii="Arial" w:hAnsi="Arial"/>
                <w:sz w:val="19"/>
              </w:rPr>
              <w:t>Past lesson learned repeated</w:t>
            </w:r>
          </w:p>
        </w:tc>
        <w:tc>
          <w:tcPr>
            <w:tcW w:type="dxa" w:w="1632"/>
            <w:vAlign w:val="center"/>
            <w:tcMar>
              <w:top w:w="80" w:type="dxa"/>
              <w:start w:w="100" w:type="dxa"/>
              <w:bottom w:w="80" w:type="dxa"/>
              <w:end w:w="100" w:type="dxa"/>
            </w:tcMar>
          </w:tcPr>
          <w:p>
            <w:pPr>
              <w:spacing w:after="40" w:line="259" w:lineRule="auto"/>
            </w:pPr>
            <w:r>
              <w:rPr>
                <w:rFonts w:ascii="Arial" w:hAnsi="Arial"/>
                <w:sz w:val="19"/>
              </w:rPr>
              <w:t>Current RFQ matches prior project with known issue</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Repeat failure risk</w:t>
            </w:r>
          </w:p>
        </w:tc>
        <w:tc>
          <w:tcPr>
            <w:tcW w:type="dxa" w:w="1632"/>
            <w:vAlign w:val="center"/>
            <w:tcMar>
              <w:top w:w="80" w:type="dxa"/>
              <w:start w:w="100" w:type="dxa"/>
              <w:bottom w:w="80" w:type="dxa"/>
              <w:end w:w="100" w:type="dxa"/>
            </w:tcMar>
          </w:tcPr>
          <w:p>
            <w:pPr>
              <w:spacing w:after="40" w:line="259" w:lineRule="auto"/>
            </w:pPr>
            <w:r>
              <w:rPr>
                <w:rFonts w:ascii="Arial" w:hAnsi="Arial"/>
                <w:sz w:val="19"/>
              </w:rPr>
              <w:t>Force checklist review of prior lesson learned</w:t>
            </w:r>
          </w:p>
        </w:tc>
      </w:tr>
      <w:tr>
        <w:tc>
          <w:tcPr>
            <w:tcW w:type="dxa" w:w="1632"/>
            <w:vAlign w:val="center"/>
            <w:tcMar>
              <w:top w:w="80" w:type="dxa"/>
              <w:start w:w="100" w:type="dxa"/>
              <w:bottom w:w="80" w:type="dxa"/>
              <w:end w:w="100" w:type="dxa"/>
            </w:tcMar>
          </w:tcPr>
          <w:p>
            <w:pPr>
              <w:spacing w:after="40" w:line="259" w:lineRule="auto"/>
            </w:pPr>
            <w:r>
              <w:rPr>
                <w:rFonts w:ascii="Arial" w:hAnsi="Arial"/>
                <w:sz w:val="19"/>
              </w:rPr>
              <w:t>SUB-01</w:t>
            </w:r>
          </w:p>
        </w:tc>
        <w:tc>
          <w:tcPr>
            <w:tcW w:type="dxa" w:w="1632"/>
            <w:vAlign w:val="center"/>
            <w:tcMar>
              <w:top w:w="80" w:type="dxa"/>
              <w:start w:w="100" w:type="dxa"/>
              <w:bottom w:w="80" w:type="dxa"/>
              <w:end w:w="100" w:type="dxa"/>
            </w:tcMar>
          </w:tcPr>
          <w:p>
            <w:pPr>
              <w:spacing w:after="40" w:line="259" w:lineRule="auto"/>
            </w:pPr>
            <w:r>
              <w:rPr>
                <w:rFonts w:ascii="Arial" w:hAnsi="Arial"/>
                <w:sz w:val="19"/>
              </w:rPr>
              <w:t>Submission</w:t>
            </w:r>
          </w:p>
        </w:tc>
        <w:tc>
          <w:tcPr>
            <w:tcW w:type="dxa" w:w="1632"/>
            <w:vAlign w:val="center"/>
            <w:tcMar>
              <w:top w:w="80" w:type="dxa"/>
              <w:start w:w="100" w:type="dxa"/>
              <w:bottom w:w="80" w:type="dxa"/>
              <w:end w:w="100" w:type="dxa"/>
            </w:tcMar>
          </w:tcPr>
          <w:p>
            <w:pPr>
              <w:spacing w:after="40" w:line="259" w:lineRule="auto"/>
            </w:pPr>
            <w:r>
              <w:rPr>
                <w:rFonts w:ascii="Arial" w:hAnsi="Arial"/>
                <w:sz w:val="19"/>
              </w:rPr>
              <w:t>Required assumption list missing</w:t>
            </w:r>
          </w:p>
        </w:tc>
        <w:tc>
          <w:tcPr>
            <w:tcW w:type="dxa" w:w="1632"/>
            <w:vAlign w:val="center"/>
            <w:tcMar>
              <w:top w:w="80" w:type="dxa"/>
              <w:start w:w="100" w:type="dxa"/>
              <w:bottom w:w="80" w:type="dxa"/>
              <w:end w:w="100" w:type="dxa"/>
            </w:tcMar>
          </w:tcPr>
          <w:p>
            <w:pPr>
              <w:spacing w:after="40" w:line="259" w:lineRule="auto"/>
            </w:pPr>
            <w:r>
              <w:rPr>
                <w:rFonts w:ascii="Arial" w:hAnsi="Arial"/>
                <w:sz w:val="19"/>
              </w:rPr>
              <w:t>Quote package lacks explicit assumptions and exclusions</w:t>
            </w:r>
          </w:p>
        </w:tc>
        <w:tc>
          <w:tcPr>
            <w:tcW w:type="dxa" w:w="1632"/>
            <w:vAlign w:val="center"/>
            <w:tcMar>
              <w:top w:w="80" w:type="dxa"/>
              <w:start w:w="100" w:type="dxa"/>
              <w:bottom w:w="80" w:type="dxa"/>
              <w:end w:w="100" w:type="dxa"/>
            </w:tcMar>
          </w:tcPr>
          <w:p>
            <w:pPr>
              <w:spacing w:after="40" w:line="259" w:lineRule="auto"/>
            </w:pPr>
            <w:r>
              <w:rPr>
                <w:rFonts w:ascii="Arial" w:hAnsi="Arial"/>
                <w:sz w:val="19"/>
              </w:rPr>
              <w:t>Future claim / dispute risk</w:t>
            </w:r>
          </w:p>
        </w:tc>
        <w:tc>
          <w:tcPr>
            <w:tcW w:type="dxa" w:w="1632"/>
            <w:vAlign w:val="center"/>
            <w:tcMar>
              <w:top w:w="80" w:type="dxa"/>
              <w:start w:w="100" w:type="dxa"/>
              <w:bottom w:w="80" w:type="dxa"/>
              <w:end w:w="100" w:type="dxa"/>
            </w:tcMar>
          </w:tcPr>
          <w:p>
            <w:pPr>
              <w:spacing w:after="40" w:line="259" w:lineRule="auto"/>
            </w:pPr>
            <w:r>
              <w:rPr>
                <w:rFonts w:ascii="Arial" w:hAnsi="Arial"/>
                <w:sz w:val="19"/>
              </w:rPr>
              <w:t>Add assumptions sheet before submission</w:t>
            </w:r>
          </w:p>
        </w:tc>
      </w:tr>
    </w:tbl>
    <w:p>
      <w:pPr>
        <w:pStyle w:val="Heading2"/>
      </w:pPr>
      <w:r>
        <w:t>5.2 Example Rule Record Format</w:t>
      </w:r>
    </w:p>
    <w:p>
      <w:pPr>
        <w:pStyle w:val="Code"/>
      </w:pPr>
      <w:r>
        <w:t>{</w:t>
        <w:br/>
      </w:r>
      <w:r>
        <w:t xml:space="preserve">  "rule_code": "CMP-01",</w:t>
        <w:br/>
      </w:r>
      <w:r>
        <w:t xml:space="preserve">  "rule_name": "Missing packaging specification",</w:t>
        <w:br/>
      </w:r>
      <w:r>
        <w:t xml:space="preserve">  "rule_category": "completeness",</w:t>
        <w:br/>
      </w:r>
      <w:r>
        <w:t xml:space="preserve">  "severity": "high",</w:t>
        <w:br/>
      </w:r>
      <w:r>
        <w:t xml:space="preserve">  "trigger_logic": "packaging_document_present = false AND packaging_required is null",</w:t>
        <w:br/>
      </w:r>
      <w:r>
        <w:t xml:space="preserve">  "expected_impact": "Packaging and logistics cost may be omitted",</w:t>
        <w:br/>
      </w:r>
      <w:r>
        <w:t xml:space="preserve">  "recommended_action": "Request packaging specification or apply contingency"</w:t>
        <w:br/>
      </w:r>
      <w:r>
        <w:t>}</w:t>
        <w:br/>
      </w:r>
    </w:p>
    <w:p>
      <w:pPr>
        <w:pStyle w:val="Heading1"/>
      </w:pPr>
      <w:r>
        <w:t>6. Recommended Workflow Integration</w:t>
      </w:r>
    </w:p>
    <w:p>
      <w:pPr>
        <w:ind w:left="259" w:hanging="259"/>
      </w:pPr>
      <w:r>
        <w:rPr>
          <w:rFonts w:ascii="Arial" w:hAnsi="Arial"/>
          <w:sz w:val="21"/>
        </w:rPr>
        <w:t>• Step 1: upload RFQ package and register documents.</w:t>
      </w:r>
    </w:p>
    <w:p>
      <w:pPr>
        <w:ind w:left="259" w:hanging="259"/>
      </w:pPr>
      <w:r>
        <w:rPr>
          <w:rFonts w:ascii="Arial" w:hAnsi="Arial"/>
          <w:sz w:val="21"/>
        </w:rPr>
        <w:t>• Step 2: parse files into structured extraction records.</w:t>
      </w:r>
    </w:p>
    <w:p>
      <w:pPr>
        <w:ind w:left="259" w:hanging="259"/>
      </w:pPr>
      <w:r>
        <w:rPr>
          <w:rFonts w:ascii="Arial" w:hAnsi="Arial"/>
          <w:sz w:val="21"/>
        </w:rPr>
        <w:t>• Step 3: create or update part-level normalized data.</w:t>
      </w:r>
    </w:p>
    <w:p>
      <w:pPr>
        <w:ind w:left="259" w:hanging="259"/>
      </w:pPr>
      <w:r>
        <w:rPr>
          <w:rFonts w:ascii="Arial" w:hAnsi="Arial"/>
          <w:sz w:val="21"/>
        </w:rPr>
        <w:t>• Step 4: compare against historical projects and current quote assumptions.</w:t>
      </w:r>
    </w:p>
    <w:p>
      <w:pPr>
        <w:ind w:left="259" w:hanging="259"/>
      </w:pPr>
      <w:r>
        <w:rPr>
          <w:rFonts w:ascii="Arial" w:hAnsi="Arial"/>
          <w:sz w:val="21"/>
        </w:rPr>
        <w:t>• Step 5: run gap rules and generate findings.</w:t>
      </w:r>
    </w:p>
    <w:p>
      <w:pPr>
        <w:ind w:left="259" w:hanging="259"/>
      </w:pPr>
      <w:r>
        <w:rPr>
          <w:rFonts w:ascii="Arial" w:hAnsi="Arial"/>
          <w:sz w:val="21"/>
        </w:rPr>
        <w:t>• Step 6: present review report with evidence, impact, and action recommendation.</w:t>
      </w:r>
    </w:p>
    <w:p>
      <w:pPr>
        <w:ind w:left="259" w:hanging="259"/>
      </w:pPr>
      <w:r>
        <w:rPr>
          <w:rFonts w:ascii="Arial" w:hAnsi="Arial"/>
          <w:sz w:val="21"/>
        </w:rPr>
        <w:t>• Step 7: after quote outcome, feed actual result back into historical_projects and submission_outcomes.</w:t>
      </w:r>
    </w:p>
    <w:p>
      <w:pPr>
        <w:pStyle w:val="Heading1"/>
      </w:pPr>
      <w:r>
        <w:t>7. Implementation Notes</w:t>
      </w:r>
    </w:p>
    <w:p>
      <w:r>
        <w:t>For an internal tool rollout, begin with one part family and a limited rule set, then expand after users confirm that the findings are useful and accurate. The best first deployment usually covers completeness checks, PPAP/quality-related flags, packaging gaps, and historical price floor benchmarking.</w:t>
      </w:r>
    </w:p>
    <w:p>
      <w:pPr>
        <w:pStyle w:val="Heading1"/>
      </w:pPr>
      <w:r>
        <w:t>8. Deliverables Included in This Pack</w:t>
      </w:r>
    </w:p>
    <w:p>
      <w:pPr>
        <w:ind w:left="259" w:hanging="259"/>
      </w:pPr>
      <w:r>
        <w:rPr>
          <w:rFonts w:ascii="Arial" w:hAnsi="Arial"/>
          <w:sz w:val="21"/>
        </w:rPr>
        <w:t>• SQL-level relational database structure for RFQ, quote, cost, rule, and outcome data.</w:t>
      </w:r>
    </w:p>
    <w:p>
      <w:pPr>
        <w:ind w:left="259" w:hanging="259"/>
      </w:pPr>
      <w:r>
        <w:rPr>
          <w:rFonts w:ascii="Arial" w:hAnsi="Arial"/>
          <w:sz w:val="21"/>
        </w:rPr>
        <w:t>• API-ready prompts for RFQ extraction, completeness checking, and output reconciliation.</w:t>
      </w:r>
    </w:p>
    <w:p>
      <w:pPr>
        <w:ind w:left="259" w:hanging="259"/>
      </w:pPr>
      <w:r>
        <w:rPr>
          <w:rFonts w:ascii="Arial" w:hAnsi="Arial"/>
          <w:sz w:val="21"/>
        </w:rPr>
        <w:t>• Twenty-eight operational gap analysis rules with trigger logic, impact, and action guidance.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rPr>
      <w:rFonts w:ascii="Arial" w:hAnsi="Arial"/>
      <w:color w:val="5A5A5A"/>
      <w:sz w:val="18"/>
    </w:rPr>
  </w:style>
  <w:style w:type="paragraph" w:customStyle="1" w:styleId="Code">
    <w:name w:val="Code"/>
    <w:basedOn w:val="Normal"/>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