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56"/>
          <w:szCs w:val="56"/>
        </w:rPr>
        <w:t xml:space="preserve">RFQ Assistant</w:t>
      </w:r>
    </w:p>
    <w:p>
      <w:pPr>
        <w:spacing w:after="40"/>
      </w:pPr>
      <w:r>
        <w:rPr>
          <w:sz w:val="32"/>
          <w:szCs w:val="32"/>
        </w:rPr>
        <w:t xml:space="preserve">Authentication, Authorization &amp; Audit Logging</w:t>
      </w:r>
    </w:p>
    <w:p>
      <w:pPr>
        <w:spacing w:after="300"/>
      </w:pPr>
      <w:r>
        <w:rPr>
          <w:b/>
          <w:bCs/>
          <w:color w:val="1A2332"/>
          <w:sz w:val="32"/>
          <w:szCs w:val="32"/>
        </w:rPr>
        <w:t xml:space="preserve">Design Spec</w:t>
      </w:r>
    </w:p>
    <w:p>
      <w:pPr>
        <w:spacing w:after="40"/>
      </w:pPr>
      <w:r>
        <w:rPr>
          <w:i/>
          <w:iCs/>
          <w:color w:val="555555"/>
        </w:rPr>
        <w:t xml:space="preserve">Prepared for internal engineering review</w:t>
      </w:r>
    </w:p>
    <w:p>
      <w:pPr>
        <w:spacing w:after="600"/>
      </w:pPr>
      <w:r>
        <w:rPr>
          <w:i/>
          <w:iCs/>
          <w:color w:val="555555"/>
        </w:rPr>
        <w:t xml:space="preserve">Status: Draft — open items flagged for decision</w:t>
      </w:r>
    </w:p>
    <w:p>
      <w:pPr>
        <w:pStyle w:val="Heading1"/>
        <w:spacing w:after="160" w:before="320"/>
      </w:pPr>
      <w:r>
        <w:t xml:space="preserve">1. Purpose</w:t>
      </w:r>
    </w:p>
    <w:p>
      <w:pPr>
        <w:spacing w:after="120"/>
      </w:pPr>
      <w:r>
        <w:t xml:space="preserve">rfq-ui currently has no authentication or authorization model that would satisfy a standard US corporate security review. This note specifies a hybrid authentication design (corporate SSO plus a small local-account fallback), a role-based permission model, and an audit logging system, so the tool can move from a single shared hardcoded login to individually attributable, permissioned, and auditable access.</w:t>
      </w:r>
    </w:p>
    <w:p>
      <w:pPr>
        <w:pStyle w:val="Heading1"/>
        <w:spacing w:after="160" w:before="320"/>
      </w:pPr>
      <w:r>
        <w:t xml:space="preserve">2. Current State</w:t>
      </w:r>
    </w:p>
    <w:p>
      <w:pPr>
        <w:spacing w:after="120"/>
      </w:pPr>
      <w:r>
        <w:t xml:space="preserve">As implemented today (src/components/auth/rfqAuth.ts):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single hardcoded username/password pair, shared by every user of the tool.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“Authentication” is a client-side flag in localStorage or sessionStorage — there is no server-side session, and the flag can be set by anyone with browser dev tools.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concept of individual user identity: there is no users table, so no action taken in the app can be attributed to a specific person.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roles or permission checks anywhere in the API routes — every authenticated browser can do everything.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audit trail: logins, data changes, extraction runs, and quote generation are all unlogged.</w:t>
      </w:r>
    </w:p>
    <w:p>
      <w:pPr>
        <w:spacing w:after="120"/>
      </w:pPr>
      <w:r>
        <w:rPr>
          <w:b/>
          <w:bCs/>
        </w:rPr>
        <w:t xml:space="preserve">This does not meet basic expectations for a corporate tool that touches customer RFQ data, supplier costs, and quoting — individual accountability and an audit trail are baseline requirements, not stretch goals.</w:t>
      </w:r>
    </w:p>
    <w:p>
      <w:pPr>
        <w:pStyle w:val="Heading1"/>
        <w:spacing w:after="160" w:before="320"/>
      </w:pPr>
      <w:r>
        <w:t xml:space="preserve">3. Goals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session is tied to a real, individually identifiable user — no shared credentials.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Corporate employees can sign in with the company identity provider (SSO); a small, tightly controlled set of local accounts exists as a break-glass fallback.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Access to actions and data is governed by role, enforced server-side on every API route, not just hidden in the UI.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authentication event and every data-changing action is recorded in an audit log with who, what, when, and outcome.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audit log is tamper-evident enough for an internal review, and exportable for a compliance audit.</w:t>
      </w:r>
    </w:p>
    <w:p>
      <w:pPr>
        <w:pStyle w:val="Heading1"/>
        <w:spacing w:after="160" w:before="320"/>
      </w:pPr>
      <w:r>
        <w:t xml:space="preserve">4. Authentication</w:t>
      </w:r>
    </w:p>
    <w:p>
      <w:pPr>
        <w:pStyle w:val="Heading2"/>
        <w:spacing w:after="120" w:before="240"/>
      </w:pPr>
      <w:r>
        <w:t xml:space="preserve">4.1 Hybrid model</w:t>
      </w:r>
    </w:p>
    <w:p>
      <w:pPr>
        <w:spacing w:after="120"/>
      </w:pPr>
      <w:r>
        <w:t xml:space="preserve">SSO is the primary path for corporate employees; local username/password accounts are reserved for a small admin/break-glass set (e.g. a fallback admin login for when the identity provider is unavailable), not offered as a parallel option to every user. This keeps one system as the default while avoiding a hard dependency on the IdP for basic operability.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4400"/>
      </w:tblGrid>
      <w:tr>
        <w:trPr>
          <w:tblHeader/>
        </w:trPr>
        <w:tc>
          <w:tcPr>
            <w:tcW w:type="dxa" w:w="24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32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Who uses it</w:t>
            </w:r>
          </w:p>
        </w:tc>
        <w:tc>
          <w:tcPr>
            <w:tcW w:type="dxa" w:w="44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Mechanism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Corporate SSO</w:t>
            </w:r>
          </w:p>
        </w:tc>
        <w:tc>
          <w:tcPr>
            <w:tcW w:type="dxa" w:w="3200"/>
          </w:tcPr>
          <w:p>
            <w:r>
              <w:t xml:space="preserve">All standard employee users</w:t>
            </w:r>
          </w:p>
        </w:tc>
        <w:tc>
          <w:tcPr>
            <w:tcW w:type="dxa" w:w="4400"/>
          </w:tcPr>
          <w:p>
            <w:r>
              <w:t xml:space="preserve">OIDC or SAML against the company identity provider (Okta / Azure AD / Google Workspace — provider TBD, see Open Items)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Local account</w:t>
            </w:r>
          </w:p>
        </w:tc>
        <w:tc>
          <w:tcPr>
            <w:tcW w:type="dxa" w:w="3200"/>
          </w:tcPr>
          <w:p>
            <w:r>
              <w:t xml:space="preserve">A small, named set of admin/break-glass accounts only</w:t>
            </w:r>
          </w:p>
        </w:tc>
        <w:tc>
          <w:tcPr>
            <w:tcW w:type="dxa" w:w="4400"/>
          </w:tcPr>
          <w:p>
            <w:r>
              <w:t xml:space="preserve">Username + password, hashed with argon2 or bcrypt, stored in the app's own users table</w:t>
            </w:r>
          </w:p>
        </w:tc>
      </w:tr>
    </w:tbl>
    <w:p>
      <w:pPr>
        <w:pStyle w:val="Heading2"/>
        <w:spacing w:after="120" w:before="240"/>
      </w:pPr>
      <w:r>
        <w:t xml:space="preserve">4.2 Account linking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Each user row can have an SSO subject identifier, a local password hash, or both — never neither.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New SSO sign-in: </w:t>
      </w:r>
      <w:r>
        <w:t xml:space="preserve">if the IdP-asserted email matches an existing user record, the session attaches to that user. If no match exists, the account is provisioned automatically only if auto-provisioning is enabled for that IdP group/role; otherwise sign-in is rejected pending an admin invite.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Local accounts are created by an admin only — no public self-registration for the local path.</w:t>
      </w:r>
    </w:p>
    <w:p>
      <w:pPr>
        <w:pStyle w:val="Heading2"/>
        <w:spacing w:after="120" w:before="240"/>
      </w:pPr>
      <w:r>
        <w:t xml:space="preserve">4.3 Sessions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Server-side sessions (e.g. NextAuth/Auth.js session store), not a client-side flag.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 cookie: httpOnly, secure, sameSite=lax, short-lived with sliding expiration (proposed: 8-hour idle timeout, 24-hour absolute max — see Open Items).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Logout invalidates the server-side session, not just a client-side flag.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Failed local-login attempts are rate-limited per account and per IP to blunt credential stuffing.</w:t>
      </w:r>
    </w:p>
    <w:p>
      <w:pPr>
        <w:pStyle w:val="Heading1"/>
        <w:spacing w:after="160" w:before="320"/>
      </w:pPr>
      <w:r>
        <w:t xml:space="preserve">5. Authorization (RBAC)</w:t>
      </w:r>
    </w:p>
    <w:p>
      <w:pPr>
        <w:spacing w:after="120"/>
      </w:pPr>
      <w:r>
        <w:t xml:space="preserve">Proposed default is a two-tier model — admin and user — kept intentionally simple to start. A finer-grained model (e.g. adding a read-only viewer role) is a natural follow-up once real usage patterns are clearer; this is flagged as an open item below rather than decided here.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  <w:tc>
          <w:tcPr>
            <w:tcW w:type="dxa" w:w="78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Can do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admin</w:t>
            </w:r>
          </w:p>
        </w:tc>
        <w:tc>
          <w:tcPr>
            <w:tcW w:type="dxa" w:w="7800"/>
          </w:tcPr>
          <w:p>
            <w:r>
              <w:t xml:space="preserve">Everything a user can do, plus: manage user accounts and roles, configure SSO/IdP settings, view and export the audit log, manage knowledge-base categories and match settings.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user</w:t>
            </w:r>
          </w:p>
        </w:tc>
        <w:tc>
          <w:tcPr>
            <w:tcW w:type="dxa" w:w="7800"/>
          </w:tcPr>
          <w:p>
            <w:r>
              <w:t xml:space="preserve">Upload and extract RFQs, run gap analysis, use the costing/quoting assistant, view and search the historical knowledge base. Cannot manage users, roles, or system configuration, and cannot view the audit log.</w:t>
            </w:r>
          </w:p>
        </w:tc>
      </w:tr>
    </w:tbl>
    <w:p>
      <w:pPr>
        <w:spacing w:after="120"/>
      </w:pPr>
      <w:r>
        <w:t xml:space="preserve">Enforcement: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Role checks live in a shared server-side guard used by every API route under src/app/api/rfq/*, src/app/api/extraction/*, and src/app/api/baseline/* — never enforced only in the UI.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 denied request returns 403 and is itself an audit event (see Section 6).</w:t>
      </w:r>
    </w:p>
    <w:p>
      <w:pPr>
        <w:pStyle w:val="Heading1"/>
        <w:spacing w:after="160" w:before="320"/>
      </w:pPr>
      <w:r>
        <w:t xml:space="preserve">6. Audit Logging</w:t>
      </w:r>
    </w:p>
    <w:p>
      <w:pPr>
        <w:spacing w:after="120"/>
      </w:pPr>
      <w:r>
        <w:t xml:space="preserve">Proposed scope is auth events plus all data-changing actions — the level typically expected in an internal or SOC 2-style access review. Logging read access to individual RFQs/customer data is treated as a further-out option, only needed if that data is classified as sensitive or regulated (flagged as an open item).</w:t>
      </w:r>
    </w:p>
    <w:p>
      <w:pPr>
        <w:pStyle w:val="Heading2"/>
        <w:spacing w:after="120" w:before="240"/>
      </w:pPr>
      <w:r>
        <w:t xml:space="preserve">6.1 Events captured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Authentication: login success, login failure (with reason: bad password, unknown user, SSO denial), logout, session expiry.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Authorization: any request denied by a role check (403).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Account admin: user created, role changed, account disabled/enabled, local password reset.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 changes: RFQ created/edited/deleted, gap findings updated or overridden, knowledge-base entries added/edited/removed, match settings changed, extraction run started/completed/failed, quote generated.</w:t>
      </w:r>
    </w:p>
    <w:p>
      <w:pPr>
        <w:pStyle w:val="Heading2"/>
        <w:spacing w:after="120" w:before="240"/>
      </w:pPr>
      <w:r>
        <w:t xml:space="preserve">6.2 Record shape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00"/>
      </w:tblGrid>
      <w:tr>
        <w:trPr>
          <w:tblHeader/>
        </w:trPr>
        <w:tc>
          <w:tcPr>
            <w:tcW w:type="dxa" w:w="24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76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timestamp</w:t>
            </w:r>
          </w:p>
        </w:tc>
        <w:tc>
          <w:tcPr>
            <w:tcW w:type="dxa" w:w="7600"/>
          </w:tcPr>
          <w:p>
            <w:r>
              <w:t xml:space="preserve">UTC time of the event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actor_user_id / actor_email</w:t>
            </w:r>
          </w:p>
        </w:tc>
        <w:tc>
          <w:tcPr>
            <w:tcW w:type="dxa" w:w="7600"/>
          </w:tcPr>
          <w:p>
            <w:r>
              <w:t xml:space="preserve">Who performed the action (null for unauthenticated failed-login attempts, which still log the attempted username)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action</w:t>
            </w:r>
          </w:p>
        </w:tc>
        <w:tc>
          <w:tcPr>
            <w:tcW w:type="dxa" w:w="7600"/>
          </w:tcPr>
          <w:p>
            <w:r>
              <w:t xml:space="preserve">Machine-readable event type, e.g. auth.login_success, rfq.gap_finding.override, kb.entry.delete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resource_type / resource_id</w:t>
            </w:r>
          </w:p>
        </w:tc>
        <w:tc>
          <w:tcPr>
            <w:tcW w:type="dxa" w:w="7600"/>
          </w:tcPr>
          <w:p>
            <w:r>
              <w:t xml:space="preserve">What was acted on, e.g. rfq_case / “RFQ-2031”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result</w:t>
            </w:r>
          </w:p>
        </w:tc>
        <w:tc>
          <w:tcPr>
            <w:tcW w:type="dxa" w:w="7600"/>
          </w:tcPr>
          <w:p>
            <w:r>
              <w:t xml:space="preserve">success | failure, plus a short reason on failure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ip_address</w:t>
            </w:r>
          </w:p>
        </w:tc>
        <w:tc>
          <w:tcPr>
            <w:tcW w:type="dxa" w:w="7600"/>
          </w:tcPr>
          <w:p>
            <w:r>
              <w:t xml:space="preserve">Source IP of the request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details_json</w:t>
            </w:r>
          </w:p>
        </w:tc>
        <w:tc>
          <w:tcPr>
            <w:tcW w:type="dxa" w:w="7600"/>
          </w:tcPr>
          <w:p>
            <w:r>
              <w:t xml:space="preserve">Action-specific context (e.g. fields changed, old/new values for overrides)</w:t>
            </w:r>
          </w:p>
        </w:tc>
      </w:tr>
    </w:tbl>
    <w:p>
      <w:pPr>
        <w:pStyle w:val="Heading2"/>
        <w:spacing w:after="120" w:before="240"/>
      </w:pPr>
      <w:r>
        <w:t xml:space="preserve">6.3 Storage, retention, and access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 audit_log table in the existing SQLite store (data/rfq.sqlite), append-only from the application's perspective — no UPDATE/DELETE path exposed via the API.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Retention: proposed 1 year online, configurable (see Open Items).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Visible only to the admin role, with CSV export for handing to a compliance reviewer.</w:t>
      </w:r>
    </w:p>
    <w:p>
      <w:pPr>
        <w:pStyle w:val="Heading1"/>
        <w:spacing w:after="160" w:before="320"/>
      </w:pPr>
      <w:r>
        <w:t xml:space="preserve">7. Admin Console GUI</w:t>
      </w:r>
    </w:p>
    <w:p>
      <w:pPr>
        <w:spacing w:after="120"/>
      </w:pPr>
      <w:r>
        <w:t xml:space="preserve">Both the audit log and user/role management need a real interface, not just database tables — this section specifies that GUI. It is placed as its own top-level admin section (e.g. an /admin route), separate from the RFQ workspace nav, since the audience is different: people administering the tool vs. people working RFQs.</w:t>
      </w:r>
    </w:p>
    <w:p>
      <w:pPr>
        <w:pStyle w:val="Heading2"/>
        <w:spacing w:after="120" w:before="240"/>
      </w:pPr>
      <w:r>
        <w:t xml:space="preserve">7.1 Access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Visible only to the admin role; a non-admin user hitting the route directly is redirected/denied, and that denial is itself logged as an authorization event (Section 6.1).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Built from the existing shadcn-style primitives already in src/components/ui/ (Card, Table, Badge, Button) — no new design language introduced for just this screen.</w:t>
      </w:r>
    </w:p>
    <w:p>
      <w:pPr>
        <w:pStyle w:val="Heading2"/>
        <w:spacing w:after="120" w:before="240"/>
      </w:pPr>
      <w:r>
        <w:t xml:space="preserve">7.2 Audit Log Viewer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Element</w:t>
            </w:r>
          </w:p>
        </w:tc>
        <w:tc>
          <w:tcPr>
            <w:tcW w:type="dxa" w:w="78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Behavior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Table columns</w:t>
            </w:r>
          </w:p>
        </w:tc>
        <w:tc>
          <w:tcPr>
            <w:tcW w:type="dxa" w:w="7800"/>
          </w:tcPr>
          <w:p>
            <w:r>
              <w:t xml:space="preserve">Timestamp, Actor, Action, Resource, Result, IP Address — backed by the Table/TableHeader/TableRow primitives already used in RFQAgentDashboard.tsx.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Filters</w:t>
            </w:r>
          </w:p>
        </w:tc>
        <w:tc>
          <w:tcPr>
            <w:tcW w:type="dxa" w:w="7800"/>
          </w:tcPr>
          <w:p>
            <w:r>
              <w:t xml:space="preserve">Date range, actor (user picker), action category (auth / authorization / account admin / data change), resource type, and result (success/failure).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Row detail</w:t>
            </w:r>
          </w:p>
        </w:tc>
        <w:tc>
          <w:tcPr>
            <w:tcW w:type="dxa" w:w="7800"/>
          </w:tcPr>
          <w:p>
            <w:r>
              <w:t xml:space="preserve">Expanding a row (or opening a side drawer) shows the full details_json payload for that event — e.g. the old/new values on a gap-finding override.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Result indicator</w:t>
            </w:r>
          </w:p>
        </w:tc>
        <w:tc>
          <w:tcPr>
            <w:tcW w:type="dxa" w:w="7800"/>
          </w:tcPr>
          <w:p>
            <w:r>
              <w:t xml:space="preserve">Rendered with the existing Badge component, following the same green/red convention already used for status and risk badges elsewhere in the dashboard.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Pagination</w:t>
            </w:r>
          </w:p>
        </w:tc>
        <w:tc>
          <w:tcPr>
            <w:tcW w:type="dxa" w:w="7800"/>
          </w:tcPr>
          <w:p>
            <w:r>
              <w:t xml:space="preserve">Server-side pagination (or cursor/infinite scroll) over audit_log — it is append-only and grows continuously, so the view never loads the full table at once.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Export</w:t>
            </w:r>
          </w:p>
        </w:tc>
        <w:tc>
          <w:tcPr>
            <w:tcW w:type="dxa" w:w="7800"/>
          </w:tcPr>
          <w:p>
            <w:r>
              <w:t xml:space="preserve">An “Export CSV” action that streams the currently filtered result set — not just the visible page — for handing to a compliance reviewer.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Editability</w:t>
            </w:r>
          </w:p>
        </w:tc>
        <w:tc>
          <w:tcPr>
            <w:tcW w:type="dxa" w:w="7800"/>
          </w:tcPr>
          <w:p>
            <w:r>
              <w:t xml:space="preserve">Strictly read-only: no edit or delete affordance anywhere in this view, matching audit_log having no update/delete path at the API layer.</w:t>
            </w:r>
          </w:p>
        </w:tc>
      </w:tr>
    </w:tbl>
    <w:p>
      <w:pPr>
        <w:pStyle w:val="Heading2"/>
        <w:spacing w:after="120" w:before="240"/>
      </w:pPr>
      <w:r>
        <w:t xml:space="preserve">7.3 User &amp; Role Management (permission control)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Element</w:t>
            </w:r>
          </w:p>
        </w:tc>
        <w:tc>
          <w:tcPr>
            <w:tcW w:type="dxa" w:w="78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Behavior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Users table</w:t>
            </w:r>
          </w:p>
        </w:tc>
        <w:tc>
          <w:tcPr>
            <w:tcW w:type="dxa" w:w="7800"/>
          </w:tcPr>
          <w:p>
            <w:r>
              <w:t xml:space="preserve">Name/email, role (admin/user), auth provider (SSO or local), status (active/disabled), last login.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Create/invite</w:t>
            </w:r>
          </w:p>
        </w:tc>
        <w:tc>
          <w:tcPr>
            <w:tcW w:type="dxa" w:w="7800"/>
          </w:tcPr>
          <w:p>
            <w:r>
              <w:t xml:space="preserve">Admin-only action to create a local account — restricted to the admin/break-glass path from Section 4, not general self-registration.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Role change</w:t>
            </w:r>
          </w:p>
        </w:tc>
        <w:tc>
          <w:tcPr>
            <w:tcW w:type="dxa" w:w="7800"/>
          </w:tcPr>
          <w:p>
            <w:r>
              <w:t xml:space="preserve">Admin can change a user's role; because granting admin has a large blast radius, this action requires an explicit confirmation step (e.g. a modal) before it takes effect.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Disable/enable</w:t>
            </w:r>
          </w:p>
        </w:tc>
        <w:tc>
          <w:tcPr>
            <w:tcW w:type="dxa" w:w="7800"/>
          </w:tcPr>
          <w:p>
            <w:r>
              <w:t xml:space="preserve">Admin can disable an account (blocking sign-in immediately, local or SSO) without deleting its history.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Local password reset</w:t>
            </w:r>
          </w:p>
        </w:tc>
        <w:tc>
          <w:tcPr>
            <w:tcW w:type="dxa" w:w="7800"/>
          </w:tcPr>
          <w:p>
            <w:r>
              <w:t xml:space="preserve">Admin-triggered reset for local accounts only; SSO-authenticated users manage credentials through the IdP, not here.</w:t>
            </w:r>
          </w:p>
        </w:tc>
      </w:tr>
      <w:tr>
        <w:tc>
          <w:tcPr>
            <w:tcW w:type="dxa" w:w="2200"/>
          </w:tcPr>
          <w:p>
            <w:r>
              <w:rPr>
                <w:rFonts w:ascii="Consolas" w:cs="Consolas" w:eastAsia="Consolas" w:hAnsi="Consolas"/>
              </w:rPr>
              <w:t xml:space="preserve">SSO-owned fields</w:t>
            </w:r>
          </w:p>
        </w:tc>
        <w:tc>
          <w:tcPr>
            <w:tcW w:type="dxa" w:w="7800"/>
          </w:tcPr>
          <w:p>
            <w:r>
              <w:t xml:space="preserve">For SSO-provisioned users, identity fields (email, SSO subject id) are shown read-only — they're owned by the identity provider, not editable in this console.</w:t>
            </w:r>
          </w:p>
        </w:tc>
      </w:tr>
    </w:tbl>
    <w:p>
      <w:pPr>
        <w:pStyle w:val="Heading2"/>
        <w:spacing w:after="120" w:before="240"/>
      </w:pPr>
      <w:r>
        <w:t xml:space="preserve">7.4 Audit coupling</w:t>
      </w:r>
    </w:p>
    <w:p>
      <w:pPr>
        <w:spacing w:after="120"/>
      </w:pPr>
      <w:r>
        <w:t xml:space="preserve">Every action available in this console — role changes, account creation, disable/enable, password resets — writes an audit_log entry per the “Account admin” event category in Section 6.1. The GUI does not introduce any capability that bypasses the audit trail; it is a view and control surface over the same tables and event log described in Sections 5 and 6.</w:t>
      </w:r>
    </w:p>
    <w:p>
      <w:pPr>
        <w:pStyle w:val="Heading1"/>
        <w:spacing w:after="160" w:before="320"/>
      </w:pPr>
      <w:r>
        <w:t xml:space="preserve">8. Data Model Impact</w:t>
      </w:r>
    </w:p>
    <w:p>
      <w:pPr>
        <w:spacing w:after="120"/>
      </w:pPr>
      <w:r>
        <w:t xml:space="preserve">New tables required — there are no user, session, or audit tables in the schema today: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users — id, email, display_name, role, auth_provider (local | sso), password_hash (nullable), sso_subject_id (nullable), is_active, created_at, last_login_at.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audit_log — as described in 6.2, indexed by timestamp and actor_user_id.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Sessions are managed by the auth library's own store (e.g. NextAuth's session table/JWT), not a new bespoke table.</w:t>
      </w:r>
    </w:p>
    <w:p>
      <w:pPr>
        <w:pStyle w:val="Heading1"/>
        <w:spacing w:after="160" w:before="320"/>
      </w:pPr>
      <w:r>
        <w:t xml:space="preserve">9. Migration &amp; Rollout Plan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00"/>
      </w:tblGrid>
      <w:tr>
        <w:trPr>
          <w:tblHeader/>
        </w:trPr>
        <w:tc>
          <w:tcPr>
            <w:tcW w:type="dxa" w:w="24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7600"/>
            <w:shd w:fill="1A2332" w:val="clear"/>
          </w:tcPr>
          <w:p>
            <w:r>
              <w:rPr>
                <w:b/>
                <w:bCs/>
                <w:color w:val="FFFFFF"/>
              </w:rPr>
              <w:t xml:space="preserve">Scope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1. Foundation</w:t>
            </w:r>
          </w:p>
        </w:tc>
        <w:tc>
          <w:tcPr>
            <w:tcW w:type="dxa" w:w="7600"/>
          </w:tcPr>
          <w:p>
            <w:r>
              <w:t xml:space="preserve">Add users and audit_log tables; build local-account login (hashed passwords) and server-side sessions, replacing the localStorage flag. Migrate the single hardcoded login to one seeded admin account.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2. SSO integration</w:t>
            </w:r>
          </w:p>
        </w:tc>
        <w:tc>
          <w:tcPr>
            <w:tcW w:type="dxa" w:w="7600"/>
          </w:tcPr>
          <w:p>
            <w:r>
              <w:t xml:space="preserve">Wire up the chosen identity provider (OIDC/SAML); enable SSO sign-in alongside local accounts.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3. RBAC enforcement</w:t>
            </w:r>
          </w:p>
        </w:tc>
        <w:tc>
          <w:tcPr>
            <w:tcW w:type="dxa" w:w="7600"/>
          </w:tcPr>
          <w:p>
            <w:r>
              <w:t xml:space="preserve">Add role checks to every API route; move existing UI-only gating (if any) to be backed by server-side checks.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4. Audit coverage + admin console</w:t>
            </w:r>
          </w:p>
        </w:tc>
        <w:tc>
          <w:tcPr>
            <w:tcW w:type="dxa" w:w="7600"/>
          </w:tcPr>
          <w:p>
            <w:r>
              <w:t xml:space="preserve">Instrument data-changing actions and auth events per Section 6; ship the admin console GUI from Section 7 — audit log viewer with CSV export, plus user and role management.</w:t>
            </w:r>
          </w:p>
        </w:tc>
      </w:tr>
      <w:tr>
        <w:tc>
          <w:tcPr>
            <w:tcW w:type="dxa" w:w="2400"/>
          </w:tcPr>
          <w:p>
            <w:r>
              <w:rPr>
                <w:rFonts w:ascii="Consolas" w:cs="Consolas" w:eastAsia="Consolas" w:hAnsi="Consolas"/>
              </w:rPr>
              <w:t xml:space="preserve">5. Cutover</w:t>
            </w:r>
          </w:p>
        </w:tc>
        <w:tc>
          <w:tcPr>
            <w:tcW w:type="dxa" w:w="7600"/>
          </w:tcPr>
          <w:p>
            <w:r>
              <w:t xml:space="preserve">Disable the legacy hardcoded credential path entirely; confirm every active user has either an SSO identity or a provisioned local account.</w:t>
            </w:r>
          </w:p>
        </w:tc>
      </w:tr>
    </w:tbl>
    <w:p>
      <w:pPr>
        <w:pStyle w:val="Heading1"/>
        <w:spacing w:after="160" w:before="320"/>
      </w:pPr>
      <w:r>
        <w:t xml:space="preserve">10. Security Considerations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Local password hashing via argon2id (preferred) or bcrypt — never plaintext or reversible encryption.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MFA is delegated to the corporate IdP for SSO users; local admin/break-glass accounts should still get a second factor (e.g. TOTP) given their elevated privilege.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 cookies: httpOnly, secure, sameSite=lax; no auth state kept in localStorage.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Rate limiting and lockout on repeated local-login failures.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Principle of least privilege: local accounts are the exception, not the default, and should be reviewed periodically (who has one, why, is it still needed).</w:t>
      </w:r>
    </w:p>
    <w:p>
      <w:pPr>
        <w:pStyle w:val="Heading1"/>
        <w:spacing w:after="160" w:before="320"/>
      </w:pPr>
      <w:r>
        <w:t xml:space="preserve">11. Open Items Before Building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Which corporate identity provider to integrate with (Okta / Azure AD / Google Workspace / other), and who owns obtaining the client ID, secret, and tenant details.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the two-tier role model (admin/user) is sufficient, or whether a third tier (e.g. read-only viewer) is needed at launch.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audit scope: auth + data changes (proposed) vs. also logging read access to individual RFQ/customer data.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Audit log retention period (proposed: 1 year) and whether older records need to be archived rather than deleted.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Session idle/absolute timeout values (proposed: 8-hour idle, 24-hour absolute).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Break-glass account policy: how many local admin accounts exist, who holds the credentials, and how often they're rotated/reviewed.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2026-07-25T14:54:21.463Z</dcterms:created>
  <dcterms:modified xsi:type="dcterms:W3CDTF">2026-07-25T14:54:21.465Z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