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F57" w:rsidRPr="00AF2F57" w:rsidRDefault="00AF2F57" w:rsidP="00AF2F57">
      <w:p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sz w:val="24"/>
          <w:szCs w:val="24"/>
        </w:rPr>
        <w:t>Good question to slow down on, because the two quotes just proved the risk is real — different customers, different column names, different granularity, one flat and one hierarchical. Building the schema around either one specifically would break on the next customer. Here's the approach that holds up:</w:t>
      </w:r>
    </w:p>
    <w:p w:rsidR="00AF2F57" w:rsidRPr="00AF2F57" w:rsidRDefault="00AF2F57" w:rsidP="00AF2F57">
      <w:p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b/>
          <w:bCs/>
          <w:sz w:val="24"/>
          <w:szCs w:val="24"/>
        </w:rPr>
        <w:t>1. Never force raw data into the canonical schema at ingestion — parse into it through a mapping layer.</w:t>
      </w:r>
      <w:r w:rsidRPr="00AF2F57">
        <w:rPr>
          <w:rFonts w:ascii="Times New Roman" w:eastAsia="Times New Roman" w:hAnsi="Times New Roman" w:cs="Times New Roman"/>
          <w:sz w:val="24"/>
          <w:szCs w:val="24"/>
        </w:rPr>
        <w:br/>
        <w:t>Keep three layers, not one:</w:t>
      </w:r>
    </w:p>
    <w:p w:rsidR="00AF2F57" w:rsidRPr="00AF2F57" w:rsidRDefault="00AF2F57" w:rsidP="00AF2F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b/>
          <w:bCs/>
          <w:sz w:val="24"/>
          <w:szCs w:val="24"/>
        </w:rPr>
        <w:t>Raw layer</w:t>
      </w:r>
      <w:r w:rsidRPr="00AF2F57">
        <w:rPr>
          <w:rFonts w:ascii="Times New Roman" w:eastAsia="Times New Roman" w:hAnsi="Times New Roman" w:cs="Times New Roman"/>
          <w:sz w:val="24"/>
          <w:szCs w:val="24"/>
        </w:rPr>
        <w:t>: the original file, untouched, plus a literal row/column extraction — this is what you always have, regardless of format</w:t>
      </w:r>
    </w:p>
    <w:p w:rsidR="00AF2F57" w:rsidRPr="00AF2F57" w:rsidRDefault="00AF2F57" w:rsidP="00AF2F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b/>
          <w:bCs/>
          <w:sz w:val="24"/>
          <w:szCs w:val="24"/>
        </w:rPr>
        <w:t>Mapping layer</w:t>
      </w:r>
      <w:r w:rsidRPr="00AF2F57">
        <w:rPr>
          <w:rFonts w:ascii="Times New Roman" w:eastAsia="Times New Roman" w:hAnsi="Times New Roman" w:cs="Times New Roman"/>
          <w:sz w:val="24"/>
          <w:szCs w:val="24"/>
        </w:rPr>
        <w:t xml:space="preserve">: header-to-canonical-field matching (fuzzy, confidence-scored — the exact same technique already built for part matching, just pointed at column headers instead of part descriptions: "NAME" and "Ref Designation" both map to </w:t>
      </w:r>
      <w:proofErr w:type="spellStart"/>
      <w:r w:rsidRPr="00AF2F57">
        <w:rPr>
          <w:rFonts w:ascii="Courier New" w:eastAsia="Times New Roman" w:hAnsi="Courier New" w:cs="Courier New"/>
          <w:sz w:val="20"/>
          <w:szCs w:val="20"/>
        </w:rPr>
        <w:t>ref_designator</w:t>
      </w:r>
      <w:proofErr w:type="spellEnd"/>
      <w:r w:rsidRPr="00AF2F57">
        <w:rPr>
          <w:rFonts w:ascii="Times New Roman" w:eastAsia="Times New Roman" w:hAnsi="Times New Roman" w:cs="Times New Roman"/>
          <w:sz w:val="24"/>
          <w:szCs w:val="24"/>
        </w:rPr>
        <w:t xml:space="preserve">; "P U" and "Unit price" both map to </w:t>
      </w:r>
      <w:proofErr w:type="spellStart"/>
      <w:r w:rsidRPr="00AF2F57">
        <w:rPr>
          <w:rFonts w:ascii="Courier New" w:eastAsia="Times New Roman" w:hAnsi="Courier New" w:cs="Courier New"/>
          <w:sz w:val="20"/>
          <w:szCs w:val="20"/>
        </w:rPr>
        <w:t>unit_cost</w:t>
      </w:r>
      <w:proofErr w:type="spellEnd"/>
      <w:r w:rsidRPr="00AF2F57">
        <w:rPr>
          <w:rFonts w:ascii="Times New Roman" w:eastAsia="Times New Roman" w:hAnsi="Times New Roman" w:cs="Times New Roman"/>
          <w:sz w:val="24"/>
          <w:szCs w:val="24"/>
        </w:rPr>
        <w:t>)</w:t>
      </w:r>
    </w:p>
    <w:p w:rsidR="00AF2F57" w:rsidRPr="00AF2F57" w:rsidRDefault="00AF2F57" w:rsidP="00AF2F5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b/>
          <w:bCs/>
          <w:sz w:val="24"/>
          <w:szCs w:val="24"/>
        </w:rPr>
        <w:t>Canonical layer</w:t>
      </w:r>
      <w:r w:rsidRPr="00AF2F57">
        <w:rPr>
          <w:rFonts w:ascii="Times New Roman" w:eastAsia="Times New Roman" w:hAnsi="Times New Roman" w:cs="Times New Roman"/>
          <w:sz w:val="24"/>
          <w:szCs w:val="24"/>
        </w:rPr>
        <w:t xml:space="preserve">: the normalized </w:t>
      </w:r>
      <w:proofErr w:type="spellStart"/>
      <w:r w:rsidRPr="00AF2F57">
        <w:rPr>
          <w:rFonts w:ascii="Courier New" w:eastAsia="Times New Roman" w:hAnsi="Courier New" w:cs="Courier New"/>
          <w:sz w:val="20"/>
          <w:szCs w:val="20"/>
        </w:rPr>
        <w:t>bom_lines</w:t>
      </w:r>
      <w:proofErr w:type="spellEnd"/>
      <w:r w:rsidRPr="00AF2F57">
        <w:rPr>
          <w:rFonts w:ascii="Times New Roman" w:eastAsia="Times New Roman" w:hAnsi="Times New Roman" w:cs="Times New Roman"/>
          <w:sz w:val="24"/>
          <w:szCs w:val="24"/>
        </w:rPr>
        <w:t xml:space="preserve"> rows everything downstream actually reads</w:t>
      </w:r>
    </w:p>
    <w:p w:rsidR="00AF2F57" w:rsidRPr="00AF2F57" w:rsidRDefault="00AF2F57" w:rsidP="00AF2F57">
      <w:p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sz w:val="24"/>
          <w:szCs w:val="24"/>
        </w:rPr>
        <w:t>If a header can't be confidently mapped, it's held aside as unmapped — not dropped, not guessed into the wrong field. Same completeness-check pattern already built for parts.</w:t>
      </w:r>
    </w:p>
    <w:p w:rsidR="00AF2F57" w:rsidRPr="00AF2F57" w:rsidRDefault="00AF2F57" w:rsidP="00AF2F57">
      <w:p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b/>
          <w:bCs/>
          <w:sz w:val="24"/>
          <w:szCs w:val="24"/>
        </w:rPr>
        <w:t>2. Split the canonical schema into a small mandatory core plus an open extension bucket.</w:t>
      </w:r>
      <w:r w:rsidRPr="00AF2F57">
        <w:rPr>
          <w:rFonts w:ascii="Times New Roman" w:eastAsia="Times New Roman" w:hAnsi="Times New Roman" w:cs="Times New Roman"/>
          <w:sz w:val="24"/>
          <w:szCs w:val="24"/>
        </w:rPr>
        <w:br/>
        <w:t xml:space="preserve">Every BOM line always has: identifier, description, quantity, unit cost. That's it for "must always exist." Everything that's real but not universal — VALUE/RATING/SUBST from the electronics quote, Target Price and multi-plant FOB from the Magna quote, sub-assembly grouping — goes into a JSON extended-attributes field, the same pattern already used for </w:t>
      </w:r>
      <w:proofErr w:type="spellStart"/>
      <w:r w:rsidRPr="00AF2F57">
        <w:rPr>
          <w:rFonts w:ascii="Courier New" w:eastAsia="Times New Roman" w:hAnsi="Courier New" w:cs="Courier New"/>
          <w:sz w:val="20"/>
          <w:szCs w:val="20"/>
        </w:rPr>
        <w:t>suppliers.commodities_json</w:t>
      </w:r>
      <w:proofErr w:type="spellEnd"/>
      <w:r w:rsidRPr="00AF2F57">
        <w:rPr>
          <w:rFonts w:ascii="Times New Roman" w:eastAsia="Times New Roman" w:hAnsi="Times New Roman" w:cs="Times New Roman"/>
          <w:sz w:val="24"/>
          <w:szCs w:val="24"/>
        </w:rPr>
        <w:t>/</w:t>
      </w:r>
      <w:proofErr w:type="spellStart"/>
      <w:r w:rsidRPr="00AF2F57">
        <w:rPr>
          <w:rFonts w:ascii="Courier New" w:eastAsia="Times New Roman" w:hAnsi="Courier New" w:cs="Courier New"/>
          <w:sz w:val="20"/>
          <w:szCs w:val="20"/>
        </w:rPr>
        <w:t>quality_json</w:t>
      </w:r>
      <w:proofErr w:type="spellEnd"/>
      <w:r w:rsidRPr="00AF2F57">
        <w:rPr>
          <w:rFonts w:ascii="Times New Roman" w:eastAsia="Times New Roman" w:hAnsi="Times New Roman" w:cs="Times New Roman"/>
          <w:sz w:val="24"/>
          <w:szCs w:val="24"/>
        </w:rPr>
        <w:t xml:space="preserve">. This avoids a schema migration every time the next customer's quote introduces a field nobody's seen before, while the core fields stay reliably </w:t>
      </w:r>
      <w:proofErr w:type="spellStart"/>
      <w:r w:rsidRPr="00AF2F57">
        <w:rPr>
          <w:rFonts w:ascii="Times New Roman" w:eastAsia="Times New Roman" w:hAnsi="Times New Roman" w:cs="Times New Roman"/>
          <w:sz w:val="24"/>
          <w:szCs w:val="24"/>
        </w:rPr>
        <w:t>queryable</w:t>
      </w:r>
      <w:proofErr w:type="spellEnd"/>
      <w:r w:rsidRPr="00AF2F57">
        <w:rPr>
          <w:rFonts w:ascii="Times New Roman" w:eastAsia="Times New Roman" w:hAnsi="Times New Roman" w:cs="Times New Roman"/>
          <w:sz w:val="24"/>
          <w:szCs w:val="24"/>
        </w:rPr>
        <w:t>.</w:t>
      </w:r>
    </w:p>
    <w:p w:rsidR="00AF2F57" w:rsidRPr="00AF2F57" w:rsidRDefault="00AF2F57" w:rsidP="00AF2F57">
      <w:p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b/>
          <w:bCs/>
          <w:sz w:val="24"/>
          <w:szCs w:val="24"/>
        </w:rPr>
        <w:t>3. A template library that learns, not a hardcoded parser for two examples.</w:t>
      </w:r>
      <w:r w:rsidRPr="00AF2F57">
        <w:rPr>
          <w:rFonts w:ascii="Times New Roman" w:eastAsia="Times New Roman" w:hAnsi="Times New Roman" w:cs="Times New Roman"/>
          <w:sz w:val="24"/>
          <w:szCs w:val="24"/>
        </w:rPr>
        <w:br/>
        <w:t xml:space="preserve">The first time a new column layout shows up, an LLM step proposes the header mapping (this is a legitimate, correctly-scoped use of an AI agent — semantic interpretation, exactly the deterministic/AI split already in the design) and a human confirms or corrects it. Once confirmed, save it as a known template — keyed by customer, or by a fingerprint of the header row itself — so the next Magna quote or the next </w:t>
      </w:r>
      <w:proofErr w:type="spellStart"/>
      <w:r w:rsidRPr="00AF2F57">
        <w:rPr>
          <w:rFonts w:ascii="Times New Roman" w:eastAsia="Times New Roman" w:hAnsi="Times New Roman" w:cs="Times New Roman"/>
          <w:sz w:val="24"/>
          <w:szCs w:val="24"/>
        </w:rPr>
        <w:t>Elatch</w:t>
      </w:r>
      <w:proofErr w:type="spellEnd"/>
      <w:r w:rsidRPr="00AF2F57">
        <w:rPr>
          <w:rFonts w:ascii="Times New Roman" w:eastAsia="Times New Roman" w:hAnsi="Times New Roman" w:cs="Times New Roman"/>
          <w:sz w:val="24"/>
          <w:szCs w:val="24"/>
        </w:rPr>
        <w:t>-style quote gets recognized and mapped automatically. New customer, new format → same flow, growing library, not a new code path.</w:t>
      </w:r>
    </w:p>
    <w:p w:rsidR="00AF2F57" w:rsidRPr="00AF2F57" w:rsidRDefault="00AF2F57" w:rsidP="00AF2F57">
      <w:p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b/>
          <w:bCs/>
          <w:sz w:val="24"/>
          <w:szCs w:val="24"/>
        </w:rPr>
        <w:t>4. Sub-assembly grouping needs to be a real structural field, not an extended attribute.</w:t>
      </w:r>
      <w:r w:rsidRPr="00AF2F57">
        <w:rPr>
          <w:rFonts w:ascii="Times New Roman" w:eastAsia="Times New Roman" w:hAnsi="Times New Roman" w:cs="Times New Roman"/>
          <w:sz w:val="24"/>
          <w:szCs w:val="24"/>
        </w:rPr>
        <w:br/>
        <w:t>Unlike VALUE/RATING (which are genuinely optional, electronics-specific), "LATCH ECU" vs. "INTEGRATED BATTERY MANAGER" is a parent-assembly relationship — the same "not yet built" gap flagged earlier, now with real evidence. That one's core schema, not extension bucket, whenever it does get built.</w:t>
      </w:r>
    </w:p>
    <w:p w:rsidR="00AF2F57" w:rsidRPr="00AF2F57" w:rsidRDefault="00AF2F57" w:rsidP="00AF2F57">
      <w:p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b/>
          <w:bCs/>
          <w:sz w:val="24"/>
          <w:szCs w:val="24"/>
        </w:rPr>
        <w:t>5. Preserve raw traceability always.</w:t>
      </w:r>
      <w:r w:rsidRPr="00AF2F57">
        <w:rPr>
          <w:rFonts w:ascii="Times New Roman" w:eastAsia="Times New Roman" w:hAnsi="Times New Roman" w:cs="Times New Roman"/>
          <w:sz w:val="24"/>
          <w:szCs w:val="24"/>
        </w:rPr>
        <w:br/>
        <w:t>Every canonical line keeps a pointer back to its raw source row. When a mapping turns out wrong, you can see exactly what it was mapped from and fix the template, not just the one BOM.</w:t>
      </w:r>
    </w:p>
    <w:p w:rsidR="00AF2F57" w:rsidRPr="00AF2F57" w:rsidRDefault="00AF2F57" w:rsidP="00AF2F57">
      <w:pPr>
        <w:spacing w:before="100" w:beforeAutospacing="1" w:after="100" w:afterAutospacing="1" w:line="240" w:lineRule="auto"/>
        <w:rPr>
          <w:rFonts w:ascii="Times New Roman" w:eastAsia="Times New Roman" w:hAnsi="Times New Roman" w:cs="Times New Roman"/>
          <w:sz w:val="24"/>
          <w:szCs w:val="24"/>
        </w:rPr>
      </w:pPr>
      <w:r w:rsidRPr="00AF2F57">
        <w:rPr>
          <w:rFonts w:ascii="Times New Roman" w:eastAsia="Times New Roman" w:hAnsi="Times New Roman" w:cs="Times New Roman"/>
          <w:sz w:val="24"/>
          <w:szCs w:val="24"/>
        </w:rPr>
        <w:lastRenderedPageBreak/>
        <w:t>The short version: the fix isn't a smarter fixed schema — it's accepting the schema will never be fixed, and building the mapping step to be the resilient part.</w:t>
      </w:r>
    </w:p>
    <w:p w:rsidR="008F0AC1" w:rsidRDefault="008F0AC1">
      <w:bookmarkStart w:id="0" w:name="_GoBack"/>
      <w:bookmarkEnd w:id="0"/>
    </w:p>
    <w:sectPr w:rsidR="008F0A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FD55D78"/>
    <w:multiLevelType w:val="multilevel"/>
    <w:tmpl w:val="0F6E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F57"/>
    <w:rsid w:val="008F0AC1"/>
    <w:rsid w:val="00AF2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3469DC-1DE6-43BE-9A9C-4B44C6442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AF2F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2F57"/>
    <w:rPr>
      <w:b/>
      <w:bCs/>
    </w:rPr>
  </w:style>
  <w:style w:type="character" w:styleId="HTMLCode">
    <w:name w:val="HTML Code"/>
    <w:basedOn w:val="DefaultParagraphFont"/>
    <w:uiPriority w:val="99"/>
    <w:semiHidden/>
    <w:unhideWhenUsed/>
    <w:rsid w:val="00AF2F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7532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2026-07-24T20:48:00Z</dcterms:created>
  <dcterms:modified xsi:type="dcterms:W3CDTF">2026-07-24T20:49:00Z</dcterms:modified>
</cp:coreProperties>
</file>