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RFQ Assistant</w:t>
      </w:r>
    </w:p>
    <w:p>
      <w:pPr>
        <w:spacing w:after="40"/>
      </w:pPr>
      <w:r>
        <w:rPr>
          <w:b/>
          <w:bCs/>
          <w:color w:val="2C4A6E"/>
          <w:sz w:val="30"/>
          <w:szCs w:val="30"/>
        </w:rPr>
        <w:t xml:space="preserve">BOM Matching: Missing Part Numbers &amp; Description Parsing</w:t>
      </w:r>
    </w:p>
    <w:p>
      <w:pPr>
        <w:spacing w:after="360"/>
      </w:pPr>
      <w:r>
        <w:rPr>
          <w:i/>
          <w:iCs/>
          <w:color w:val="525E57"/>
          <w:sz w:val="20"/>
          <w:szCs w:val="20"/>
        </w:rPr>
        <w:t xml:space="preserve">Connectic Solutions · Design note</w:t>
      </w:r>
    </w:p>
    <w:p>
      <w:pPr>
        <w:pStyle w:val="Heading1"/>
        <w:spacing w:after="160" w:before="320"/>
      </w:pPr>
      <w:r>
        <w:t xml:space="preserve">1. Context</w:t>
      </w:r>
    </w:p>
    <w:p>
      <w:pPr>
        <w:spacing w:after="120"/>
      </w:pPr>
      <w:r>
        <w:t xml:space="preserve">Two recurring challenges surfaced while processing real customer RFQ files (BOM lines with no part number, and inconsistent, unstructured descriptions). This note captures the proposed approach to both, and how they relate. Current focus remains BOM Intelligence and Supplier &amp; Part DB; Costing, Supplier Recommendation, and the Costing Queue stay as a later phase and are unaffected by this note.</w:t>
      </w:r>
    </w:p>
    <w:p>
      <w:pPr>
        <w:pBdr>
          <w:left w:val="single" w:color="1A6FC4" w:sz="12" w:space="8"/>
        </w:pBdr>
        <w:spacing w:after="200" w:before="80"/>
        <w:ind w:left="200"/>
      </w:pPr>
      <w:r>
        <w:rPr>
          <w:i/>
          <w:iCs/>
          <w:color w:val="2C4A6E"/>
        </w:rPr>
        <w:t xml:space="preserve">Key relationship: these two challenges are linked, not separate. A part number often reads as “missing” only because it is sitting inside the description text and was never pulled into its own field — exactly what happened with two components in the Elatch sample quote. Solving description parsing well directly reduces how often a part number looks missing.</w:t>
      </w:r>
    </w:p>
    <w:p>
      <w:pPr>
        <w:pStyle w:val="Heading1"/>
        <w:spacing w:after="160" w:before="320"/>
      </w:pPr>
      <w:r>
        <w:t xml:space="preserve">2. Challenge 1 — Missing Part Numbers</w:t>
      </w:r>
    </w:p>
    <w:p>
      <w:pPr>
        <w:spacing w:after="120"/>
      </w:pPr>
      <w:r>
        <w:t xml:space="preserve">Proposed handling is a fallback ladder, not a single match / no-match outcome. Each tier is a real match with its own confidence level — nothing gets presented as more certain than it is.</w:t>
      </w:r>
    </w:p>
    <w:p>
      <w:pPr>
        <w:spacing w:after="100"/>
      </w:pPr>
      <w:r>
        <w:rPr>
          <w:b/>
          <w:bCs/>
        </w:rPr>
        <w:t xml:space="preserve">1. </w:t>
      </w:r>
      <w:r>
        <w:t xml:space="preserve">Exact match — on whatever identifier exists. (Already built.)</w:t>
      </w:r>
    </w:p>
    <w:p>
      <w:pPr>
        <w:spacing w:after="100"/>
      </w:pPr>
      <w:r>
        <w:rPr>
          <w:b/>
          <w:bCs/>
        </w:rPr>
        <w:t xml:space="preserve">2. </w:t>
      </w:r>
      <w:r>
        <w:t xml:space="preserve">Fuzzy match — on the normalized description signature. (Already built.)</w:t>
      </w:r>
    </w:p>
    <w:p>
      <w:pPr>
        <w:spacing w:after="100"/>
      </w:pPr>
      <w:r>
        <w:rPr>
          <w:b/>
          <w:bCs/>
        </w:rPr>
        <w:t xml:space="preserve">3. </w:t>
      </w:r>
      <w:r>
        <w:t xml:space="preserve">Extracted match — pull a part number out of the description text itself, when one is embedded but not in the dedicated field. New — this is Challenge 2's job.</w:t>
      </w:r>
    </w:p>
    <w:p>
      <w:pPr>
        <w:spacing w:after="100"/>
      </w:pPr>
      <w:r>
        <w:rPr>
          <w:b/>
          <w:bCs/>
        </w:rPr>
        <w:t xml:space="preserve">4. </w:t>
      </w:r>
      <w:r>
        <w:t xml:space="preserve">Manufacturer + spec match — if a manufacturer is named but no part number, narrow the fuzzy search to that manufacturer's known parts first, rather than searching the whole canonical set.</w:t>
      </w:r>
    </w:p>
    <w:p>
      <w:pPr>
        <w:spacing w:after="100"/>
      </w:pPr>
      <w:r>
        <w:rPr>
          <w:b/>
          <w:bCs/>
        </w:rPr>
        <w:t xml:space="preserve">5. </w:t>
      </w:r>
      <w:r>
        <w:t xml:space="preserve">Value / rating match — once descriptions are parsed into structured attributes (100nF, 50V, 0603), match on the spec itself even with zero part number — two different manufacturers' equivalent components are often genuinely interchangeable, so this is a legitimate tier, not just a fallback.</w:t>
      </w:r>
    </w:p>
    <w:p>
      <w:pPr>
        <w:spacing w:after="100"/>
      </w:pPr>
      <w:r>
        <w:rPr>
          <w:b/>
          <w:bCs/>
        </w:rPr>
        <w:t xml:space="preserve">6. </w:t>
      </w:r>
      <w:r>
        <w:t xml:space="preserve">Generic commodity class — if nothing above resolves, do not force a match. Create an explicit “unresolved — generic class” part, flagged, rather than silently treating it as identified.</w:t>
      </w:r>
    </w:p>
    <w:p>
      <w:pPr>
        <w:pStyle w:val="Heading1"/>
        <w:spacing w:after="160" w:before="320"/>
      </w:pPr>
      <w:r>
        <w:t xml:space="preserve">3. Challenge 2 — Description Parsing / Auto-Expanding Fields</w:t>
      </w:r>
    </w:p>
    <w:p>
      <w:pPr>
        <w:spacing w:after="120"/>
      </w:pPr>
      <w:r>
        <w:t xml:space="preserve">The fix is a parsing step that turns free text into structured attributes before matching happens, not after.</w:t>
      </w:r>
    </w:p>
    <w:p>
      <w:pPr>
        <w:pStyle w:val="Heading2"/>
        <w:spacing w:after="120" w:before="240"/>
      </w:pPr>
      <w:r>
        <w:t xml:space="preserve">3.1 Worked Example</w:t>
      </w:r>
    </w:p>
    <w:p>
      <w:pPr>
        <w:pBdr>
          <w:left w:val="single" w:color="1A6FC4" w:sz="12" w:space="8"/>
        </w:pBdr>
        <w:spacing w:after="200" w:before="80"/>
        <w:ind w:left="200"/>
      </w:pPr>
      <w:r>
        <w:rPr>
          <w:i/>
          <w:iCs/>
          <w:color w:val="2C4A6E"/>
        </w:rPr>
        <w:t xml:space="preserve">“Chip resistor, 2.2k Ohm, 1/8W, 5%, SMD, 0603, AEC-Q200 qualified”  →  { class: resistor, value: 2.2k, unit: ohm, power: 1/8W, tolerance: 5%, package: 0603, mount: SMD, qualification: AEC-Q200 }</w:t>
      </w:r>
    </w:p>
    <w:p>
      <w:pPr>
        <w:pStyle w:val="Heading2"/>
        <w:spacing w:after="120" w:before="240"/>
      </w:pPr>
      <w:r>
        <w:t xml:space="preserve">3.2 Deterministic-first, same split as the rest of the platform</w:t>
      </w:r>
    </w:p>
    <w:p>
      <w:pPr>
        <w:spacing w:after="120"/>
      </w:pPr>
      <w:r>
        <w:t xml:space="preserve">Resistors, capacitors, and standard package codes follow predictable industry notation — regex-based extraction handles most of it reliably. An LLM step is only invoked for whatever the deterministic patterns don't recognize, not as the default path for every line.</w:t>
      </w:r>
    </w:p>
    <w:p>
      <w:pPr>
        <w:pStyle w:val="Heading2"/>
        <w:spacing w:after="120" w:before="240"/>
      </w:pPr>
      <w:r>
        <w:t xml:space="preserve">3.3 Auto-expand means a growing attribute registry, not schema migrations</w:t>
      </w:r>
    </w:p>
    <w:p>
      <w:pPr>
        <w:spacing w:after="120"/>
      </w:pPr>
      <w:r>
        <w:t xml:space="preserve">No fixed column set covers every commodity. Electronics parts need value / tolerance / package; mechanical parts need material / finish / dimension; PCBs need layer count / copper weight. New attributes land in an extended-attributes bucket (the same pattern already used for dimensions_json / commodities_json elsewhere in the schema), and a registry tracks which attribute keys exist per commodity class so far. A new attribute key showing up in a description does not require a database change — it is simply added to the registry.</w:t>
      </w:r>
    </w:p>
    <w:p>
      <w:pPr>
        <w:pStyle w:val="Heading1"/>
        <w:spacing w:after="160" w:before="320"/>
      </w:pPr>
      <w:r>
        <w:t xml:space="preserve">4. Summary Table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3100"/>
      </w:tblGrid>
      <w:tr>
        <w:trPr>
          <w:tblHeader/>
        </w:trPr>
        <w:tc>
          <w:tcPr>
            <w:tcW w:type="dxa" w:w="2600"/>
            <w:shd w:fill="1A2332" w:val="clear"/>
          </w:tcPr>
          <w:p>
            <w:r>
              <w:rPr>
                <w:b/>
                <w:bCs/>
                <w:color w:val="FFFFFF"/>
              </w:rPr>
              <w:t xml:space="preserve">Area</w:t>
            </w:r>
          </w:p>
        </w:tc>
        <w:tc>
          <w:tcPr>
            <w:tcW w:type="dxa" w:w="5300"/>
            <w:shd w:fill="1A2332" w:val="clear"/>
          </w:tcPr>
          <w:p>
            <w:r>
              <w:rPr>
                <w:b/>
                <w:bCs/>
                <w:color w:val="FFFFFF"/>
              </w:rPr>
              <w:t xml:space="preserve">Approach</w:t>
            </w:r>
          </w:p>
        </w:tc>
        <w:tc>
          <w:tcPr>
            <w:tcW w:type="dxa" w:w="3100"/>
            <w:shd w:fill="1A2332" w:val="clear"/>
          </w:tcPr>
          <w:p>
            <w:r>
              <w:rPr>
                <w:b/>
                <w:bCs/>
                <w:color w:val="FFFFFF"/>
              </w:rPr>
              <w:t xml:space="preserve">Status</w:t>
            </w:r>
          </w:p>
        </w:tc>
      </w:tr>
      <w:tr>
        <w:tc>
          <w:tcPr>
            <w:tcW w:type="dxa" w:w="2600"/>
          </w:tcPr>
          <w:p>
            <w:r>
              <w:rPr>
                <w:b w:val="false"/>
                <w:bCs w:val="false"/>
              </w:rPr>
              <w:t xml:space="preserve">Missing part number</w:t>
            </w:r>
          </w:p>
        </w:tc>
        <w:tc>
          <w:tcPr>
            <w:tcW w:type="dxa" w:w="5300"/>
          </w:tcPr>
          <w:p>
            <w:r>
              <w:rPr>
                <w:b w:val="false"/>
                <w:bCs w:val="false"/>
              </w:rPr>
              <w:t xml:space="preserve">6-tier fallback ladder (exact → fuzzy → extracted → mfr+spec → value/rating → flagged unresolved)</w:t>
            </w:r>
          </w:p>
        </w:tc>
        <w:tc>
          <w:tcPr>
            <w:tcW w:type="dxa" w:w="3100"/>
          </w:tcPr>
          <w:p>
            <w:r>
              <w:rPr>
                <w:b w:val="false"/>
                <w:bCs w:val="false"/>
              </w:rPr>
              <w:t xml:space="preserve">Design note — tiers 1-2 built, 3-6 not yet</w:t>
            </w:r>
          </w:p>
        </w:tc>
      </w:tr>
      <w:tr>
        <w:tc>
          <w:tcPr>
            <w:tcW w:type="dxa" w:w="2600"/>
          </w:tcPr>
          <w:p>
            <w:r>
              <w:rPr>
                <w:b w:val="false"/>
                <w:bCs w:val="false"/>
              </w:rPr>
              <w:t xml:space="preserve">Description parsing</w:t>
            </w:r>
          </w:p>
        </w:tc>
        <w:tc>
          <w:tcPr>
            <w:tcW w:type="dxa" w:w="5300"/>
          </w:tcPr>
          <w:p>
            <w:r>
              <w:rPr>
                <w:b w:val="false"/>
                <w:bCs w:val="false"/>
              </w:rPr>
              <w:t xml:space="preserve">Deterministic regex extraction first; LLM only for unrecognized patterns</w:t>
            </w:r>
          </w:p>
        </w:tc>
        <w:tc>
          <w:tcPr>
            <w:tcW w:type="dxa" w:w="3100"/>
          </w:tcPr>
          <w:p>
            <w:r>
              <w:rPr>
                <w:b w:val="false"/>
                <w:bCs w:val="false"/>
              </w:rPr>
              <w:t xml:space="preserve">Design note — not yet built</w:t>
            </w:r>
          </w:p>
        </w:tc>
      </w:tr>
      <w:tr>
        <w:tc>
          <w:tcPr>
            <w:tcW w:type="dxa" w:w="2600"/>
          </w:tcPr>
          <w:p>
            <w:r>
              <w:rPr>
                <w:b w:val="false"/>
                <w:bCs w:val="false"/>
              </w:rPr>
              <w:t xml:space="preserve">Schema impact</w:t>
            </w:r>
          </w:p>
        </w:tc>
        <w:tc>
          <w:tcPr>
            <w:tcW w:type="dxa" w:w="5300"/>
          </w:tcPr>
          <w:p>
            <w:r>
              <w:rPr>
                <w:b w:val="false"/>
                <w:bCs w:val="false"/>
              </w:rPr>
              <w:t xml:space="preserve">Extended-attributes JSON bucket + a per-commodity-class attribute registry</w:t>
            </w:r>
          </w:p>
        </w:tc>
        <w:tc>
          <w:tcPr>
            <w:tcW w:type="dxa" w:w="3100"/>
          </w:tcPr>
          <w:p>
            <w:r>
              <w:rPr>
                <w:b w:val="false"/>
                <w:bCs w:val="false"/>
              </w:rPr>
              <w:t xml:space="preserve">Design note — not yet built</w:t>
            </w:r>
          </w:p>
        </w:tc>
      </w:tr>
    </w:tbl>
    <w:p>
      <w:pPr>
        <w:pStyle w:val="Heading1"/>
        <w:spacing w:after="160" w:before="320"/>
      </w:pPr>
      <w:r>
        <w:t xml:space="preserve">5. Next Step</w:t>
      </w:r>
    </w:p>
    <w:p>
      <w:pPr>
        <w:spacing w:after="120"/>
      </w:pPr>
      <w:r>
        <w:t xml:space="preserve">This is a design note, not an implementation — consistent with the current pace of documenting decisions before building them. Ready to build (schema additions, the parsing step, and the extended fallback tiers) whenever the go-ahead is given.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2026-07-26T19:56:44.856Z</dcterms:created>
  <dcterms:modified xsi:type="dcterms:W3CDTF">2026-07-26T19:56:44.871Z</dcterms:modified>
</cp:coreProperties>
</file>

<file path=docProps/custom.xml><?xml version="1.0" encoding="utf-8"?>
<Properties xmlns="http://schemas.openxmlformats.org/officeDocument/2006/custom-properties" xmlns:vt="http://schemas.openxmlformats.org/officeDocument/2006/docPropsVTypes"/>
</file>