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8"/>
          <w:szCs w:val="48"/>
        </w:rPr>
        <w:t xml:space="preserve">RFQ Assistant</w:t>
      </w:r>
    </w:p>
    <w:p>
      <w:pPr>
        <w:spacing w:after="40"/>
      </w:pPr>
      <w:r>
        <w:rPr>
          <w:b/>
          <w:bCs/>
          <w:color w:val="2C4A6E"/>
          <w:sz w:val="30"/>
          <w:szCs w:val="30"/>
        </w:rPr>
        <w:t xml:space="preserve">Dual-Source Cost Lookup: Internal Supplier &amp; Part DB + Trustedparts.com</w:t>
      </w:r>
    </w:p>
    <w:p>
      <w:pPr>
        <w:spacing w:after="360"/>
      </w:pPr>
      <w:r>
        <w:rPr>
          <w:i/>
          <w:iCs/>
          <w:color w:val="525E57"/>
          <w:sz w:val="20"/>
          <w:szCs w:val="20"/>
        </w:rPr>
        <w:t xml:space="preserve">Connectic Solutions · Design note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When the Costing Agent needs a unit cost for a part, it now has two sources to check: the internal Supplier &amp; Part DB, and Trustedparts.com as an external distributor reference. This note specifies how the two are compared, how quantity-based pricing is handled, and how the fetch itself is built and operated.</w:t>
      </w:r>
    </w:p>
    <w:p>
      <w:pPr>
        <w:pStyle w:val="Heading1"/>
        <w:spacing w:after="160" w:before="320"/>
      </w:pPr>
      <w:r>
        <w:t xml:space="preserve">2. Sources</w:t>
      </w:r>
    </w:p>
    <w:p>
      <w:pPr>
        <w:pStyle w:val="Heading2"/>
        <w:spacing w:after="120" w:before="240"/>
      </w:pPr>
      <w:r>
        <w:t xml:space="preserve">2.1 Internal Supplier &amp; Part DB</w:t>
      </w:r>
    </w:p>
    <w:p>
      <w:pPr>
        <w:spacing w:after="120"/>
      </w:pPr>
      <w:r>
        <w:t xml:space="preserve">The existing supplier_parts table — one row per supplier-part relationship, already storing unit cost, currency, quote date, lead time, approval status, and a price_breaks field for quantity-based pricing.</w:t>
      </w:r>
    </w:p>
    <w:p>
      <w:pPr>
        <w:pBdr>
          <w:left w:val="single" w:color="1A6FC4" w:sz="12" w:space="8"/>
        </w:pBdr>
        <w:spacing w:after="200" w:before="80"/>
        <w:ind w:left="200"/>
      </w:pPr>
      <w:r>
        <w:rPr>
          <w:i/>
          <w:iCs/>
          <w:color w:val="2C4A6E"/>
        </w:rPr>
        <w:t xml:space="preserve">Gap this work surfaces: price_breaks_json exists in the schema but isn't populated or read anywhere yet. Every lookup today resolves to a single flat unit_cost. That field needs to become load-bearing — see Section 4.</w:t>
      </w:r>
    </w:p>
    <w:p>
      <w:pPr>
        <w:pStyle w:val="Heading2"/>
        <w:spacing w:after="120" w:before="240"/>
      </w:pPr>
      <w:r>
        <w:t xml:space="preserve">2.2 Trustedparts.com</w:t>
      </w:r>
    </w:p>
    <w:p>
      <w:pPr>
        <w:spacing w:after="120"/>
      </w:pPr>
      <w:r>
        <w:t xml:space="preserve">An external distributor aggregator, treated as just another row in the same supplier_parts table rather than a separate system — structurally, a distributor quote and an internal supplier quote are the same shape: a cost, a date, a source.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supplier_id = "TRUSTEDPARTS"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= "Trustedparts.com", with a fetch timestamp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price_breaks_json populated with every quantity tier shown on the page, not just one quantity</w:t>
      </w:r>
    </w:p>
    <w:p>
      <w:pPr>
        <w:spacing w:after="120"/>
      </w:pPr>
      <w:r>
        <w:t xml:space="preserve">No public API is available, so this source is fetched via a headless-browser script (Section 5), not a direct API call.</w:t>
      </w:r>
    </w:p>
    <w:p>
      <w:pPr>
        <w:pStyle w:val="Heading1"/>
        <w:spacing w:after="160" w:before="320"/>
      </w:pPr>
      <w:r>
        <w:t xml:space="preserve">3. Selection Logic</w:t>
      </w:r>
    </w:p>
    <w:p>
      <w:pPr>
        <w:spacing w:after="120"/>
      </w:pPr>
      <w:r>
        <w:t xml:space="preserve">Per BOM line, at the quantity actually required: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Resolve the quantity-correct unit cost from the internal DB (exact price-break match, or the next tier down if the required quantity falls between two breaks).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Resolve the quantity-correct unit cost from Trustedparts at the same quantity, using its cached price-break table.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Select the lower of the two. Every selection carries a plain-language explanation — which source won, both numbers, and the quantity they were compared at.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If only one source has data, say so plainly rather than implying a comparison happened.</w:t>
      </w:r>
    </w:p>
    <w:p>
      <w:pPr>
        <w:spacing w:after="200"/>
      </w:pPr>
      <w:r>
        <w:rPr>
          <w:b/>
          <w:bCs/>
        </w:rPr>
        <w:t xml:space="preserve">5. </w:t>
      </w:r>
      <w:r>
        <w:t xml:space="preserve">If the two sources disagree by a wide margin, raise a risk flag rather than silently picking the lower number — a large internal-vs-market gap usually means a stale internal quote or a part-identity mismatch, and warrants a human look before either number is used.</w:t>
      </w:r>
    </w:p>
    <w:p>
      <w:pPr>
        <w:pStyle w:val="Heading2"/>
        <w:spacing w:after="120" w:before="240"/>
      </w:pPr>
      <w:r>
        <w:t xml:space="preserve">3.1 Worked Example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3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Internal DB</w:t>
            </w:r>
          </w:p>
        </w:tc>
        <w:tc>
          <w:tcPr>
            <w:tcW w:type="dxa" w:w="3300"/>
            <w:shd w:fill="1A2332" w:val="clear"/>
          </w:tcPr>
          <w:p>
            <w:r>
              <w:rPr>
                <w:b/>
                <w:bCs/>
                <w:color w:val="FFFFFF"/>
              </w:rPr>
              <w:t xml:space="preserve">Trustedparts.com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Quantity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1,500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1,500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Unit cost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$0.0720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$0.0685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Quote / fetch date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2025-03-10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2026-07-20 (cached)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Price-break tier used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1,000+</w:t>
            </w:r>
          </w:p>
        </w:tc>
        <w:tc>
          <w:tcPr>
            <w:tcW w:type="dxa" w:w="3300"/>
          </w:tcPr>
          <w:p>
            <w:r>
              <w:rPr>
                <w:b w:val="false"/>
                <w:bCs w:val="false"/>
              </w:rPr>
              <w:t xml:space="preserve">1,000–4,999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1A6FC4" w:sz="12" w:space="8"/>
        </w:pBdr>
        <w:spacing w:after="200" w:before="80"/>
        <w:ind w:left="200"/>
      </w:pPr>
      <w:r>
        <w:rPr>
          <w:i/>
          <w:iCs/>
          <w:color w:val="2C4A6E"/>
        </w:rPr>
        <w:t xml:space="preserve">Selected: Trustedparts — $0.0685 @ 1,500 pcs (cached 2026-07-20) — beats internal $0.0720 @ same quantity (quoted 2025-03-10).</w:t>
      </w:r>
    </w:p>
    <w:p>
      <w:pPr>
        <w:pStyle w:val="Heading1"/>
        <w:spacing w:after="160" w:before="320"/>
      </w:pPr>
      <w:r>
        <w:t xml:space="preserve">4. Data Model Impact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price_breaks_json on supplier_parts moves from unused to load-bearing — populated by both the internal-quote entry path and the Trustedparts fetch, and read by the quantity-tier resolution step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new tables required. Trustedparts results are ordinary supplier_parts rows with supplier_id = "TRUSTEDPARTS".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costing engine's per-line source_type gains an explanation string (which source won and why) alongside the existing source_type / source_description fields.</w:t>
      </w:r>
    </w:p>
    <w:p>
      <w:pPr>
        <w:pStyle w:val="Heading1"/>
        <w:spacing w:after="160" w:before="320"/>
      </w:pPr>
      <w:r>
        <w:t xml:space="preserve">5. Fetch Architecture (Playwright)</w:t>
      </w:r>
    </w:p>
    <w:p>
      <w:pPr>
        <w:pStyle w:val="Heading2"/>
        <w:spacing w:after="120" w:before="240"/>
      </w:pPr>
      <w:r>
        <w:t xml:space="preserve">5.1 Why Playwright fits</w:t>
      </w:r>
    </w:p>
    <w:p>
      <w:pPr>
        <w:spacing w:after="120"/>
      </w:pPr>
      <w:r>
        <w:t xml:space="preserve">Volume is low — roughly one to two dozen lookups a day — well within what a small headless-browser script can handle without dedicated scraping infrastructure.</w:t>
      </w:r>
    </w:p>
    <w:p>
      <w:pPr>
        <w:pStyle w:val="Heading2"/>
        <w:spacing w:after="120" w:before="240"/>
      </w:pPr>
      <w:r>
        <w:t xml:space="preserve">5.2 Cache, don't scrape live</w:t>
      </w:r>
    </w:p>
    <w:p>
      <w:pPr>
        <w:spacing w:after="120"/>
      </w:pPr>
      <w:r>
        <w:t xml:space="preserve">A part's Trustedparts pricing doesn't change hour to hour. Each fetch result is stored as a supplier_parts row and reused until it goes stale (proposed: 7 days) rather than re-fetched on every costing run. This keeps real request volume well below the raw lookup count and is kinder to the site.</w:t>
      </w:r>
    </w:p>
    <w:p>
      <w:pPr>
        <w:pStyle w:val="Heading2"/>
        <w:spacing w:after="120" w:before="240"/>
      </w:pPr>
      <w:r>
        <w:t xml:space="preserve">5.3 Fetch the full price-break table in one visit</w:t>
      </w:r>
    </w:p>
    <w:p>
      <w:pPr>
        <w:spacing w:after="120"/>
      </w:pPr>
      <w:r>
        <w:t xml:space="preserve">Each page load captures every quantity tier Trustedparts shows for a part, populating price_breaks_json in one pass — not one page load per quantity scenario.</w:t>
      </w:r>
    </w:p>
    <w:p>
      <w:pPr>
        <w:pStyle w:val="Heading2"/>
        <w:spacing w:after="120" w:before="240"/>
      </w:pPr>
      <w:r>
        <w:t xml:space="preserve">5.4 Runs as its own service, not inside the API request path</w:t>
      </w:r>
    </w:p>
    <w:p>
      <w:pPr>
        <w:spacing w:after="120"/>
      </w:pPr>
      <w:r>
        <w:t xml:space="preserve">A headless browser process doesn't belong in a synchronous Next.js API route. Proposed shape: a separate worker — either a scheduled job that refreshes the cache, or a standalone service the costing engine calls with a timeout. On failure or timeout, the run falls back to internal-only with an explicit flag ("Trustedparts lookup failed — using internal cost only") rather than blocking the costing run.</w:t>
      </w:r>
    </w:p>
    <w:p>
      <w:pPr>
        <w:pStyle w:val="Heading2"/>
        <w:spacing w:after="120" w:before="240"/>
      </w:pPr>
      <w:r>
        <w:t xml:space="preserve">5.5 Ownership and monitoring</w:t>
      </w:r>
    </w:p>
    <w:p>
      <w:pPr>
        <w:spacing w:after="120"/>
      </w:pPr>
      <w:r>
        <w:t xml:space="preserve">Site-layout changes on Trustedparts' end will silently break the scraper until someone notices. Needs an owner and a lightweight check — e.g. an alert if N consecutive lookups return nothing, or a daily sanity probe against a known part.</w:t>
      </w:r>
    </w:p>
    <w:p>
      <w:pPr>
        <w:pStyle w:val="Heading1"/>
        <w:spacing w:after="160" w:before="320"/>
      </w:pPr>
      <w:r>
        <w:t xml:space="preserve">6. Open Items Before Building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Trustedparts.com's Terms of Service and robots.txt permit automated access before relying on this — worth resolving before writing the scraper, not after.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the staleness window for cached results (proposed: 7 days).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the margin threshold that triggers a "sources disagree" risk flag rather than a silent lowest-wins pick.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 whether a distributor with a real API (Digi-Key, Mouser, Arrow) is a better long-term source than scraping, given the ongoing fragility cost — same selection logic either way, only the fetch adapter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2026-07-24T21:38:45.911Z</dcterms:created>
  <dcterms:modified xsi:type="dcterms:W3CDTF">2026-07-24T21:38:45.925Z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