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56"/>
          <w:szCs w:val="56"/>
        </w:rPr>
        <w:t xml:space="preserve">RFQ Assistant</w:t>
      </w:r>
    </w:p>
    <w:p>
      <w:pPr>
        <w:spacing w:after="300"/>
      </w:pPr>
      <w:r>
        <w:rPr>
          <w:sz w:val="32"/>
          <w:szCs w:val="32"/>
        </w:rPr>
        <w:t xml:space="preserve">Commercial-Grade Readiness Roadmap</w:t>
      </w:r>
    </w:p>
    <w:p>
      <w:pPr>
        <w:spacing w:after="40"/>
      </w:pPr>
      <w:r>
        <w:rPr>
          <w:i/>
          <w:iCs/>
          <w:color w:val="555555"/>
        </w:rPr>
        <w:t xml:space="preserve">Prepared for internal engineering review</w:t>
      </w:r>
    </w:p>
    <w:p>
      <w:pPr>
        <w:spacing w:after="600"/>
      </w:pPr>
      <w:r>
        <w:rPr>
          <w:i/>
          <w:iCs/>
          <w:color w:val="555555"/>
        </w:rPr>
        <w:t xml:space="preserve">Status: Draft — gap assessment, prioritization is an open item</w:t>
      </w:r>
    </w:p>
    <w:p>
      <w:pPr>
        <w:pStyle w:val="Heading1"/>
        <w:spacing w:after="160" w:before="320"/>
      </w:pPr>
      <w:r>
        <w:t xml:space="preserve">1. Purpose</w:t>
      </w:r>
    </w:p>
    <w:p>
      <w:pPr>
        <w:spacing w:after="120"/>
      </w:pPr>
      <w:r>
        <w:t xml:space="preserve">This note is a gap assessment: the areas of rfq-ui that would need to close before the tool could be called a commercial-grade product, as opposed to a working internal prototype. It complements two design specs already in flight — authentication/RBAC/audit (issue #6) and RFQ parsing accuracy/speed (issue #7) — by covering everything else: testing, CI, observability, the data layer, API protection and cost control, secrets management, and deployment resilience.</w:t>
      </w:r>
    </w:p>
    <w:p>
      <w:pPr>
        <w:spacing w:after="120"/>
      </w:pPr>
      <w:r>
        <w:rPr>
          <w:i/>
          <w:iCs/>
        </w:rPr>
        <w:t xml:space="preserve">This is a survey of gaps, not a committed roadmap — prioritization and sequencing are called out as open items at the end.</w:t>
      </w:r>
    </w:p>
    <w:p>
      <w:pPr>
        <w:pStyle w:val="Heading1"/>
        <w:spacing w:after="160" w:before="320"/>
      </w:pPr>
      <w:r>
        <w:t xml:space="preserve">2. Already Tracked Elsewhere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1A2332" w:val="clear"/>
          </w:tcPr>
          <w:p>
            <w:r>
              <w:rPr>
                <w:b/>
                <w:bCs/>
                <w:color w:val="FFFFFF"/>
              </w:rPr>
              <w:t xml:space="preserve">Area</w:t>
            </w:r>
          </w:p>
        </w:tc>
        <w:tc>
          <w:tcPr>
            <w:tcW w:type="dxa" w:w="7000"/>
            <w:shd w:fill="1A2332" w:val="clear"/>
          </w:tcPr>
          <w:p>
            <w:r>
              <w:rPr>
                <w:b/>
                <w:bCs/>
                <w:color w:val="FFFFFF"/>
              </w:rPr>
              <w:t xml:space="preserve">Where it's tracked</w:t>
            </w:r>
          </w:p>
        </w:tc>
      </w:tr>
      <w:tr>
        <w:tc>
          <w:tcPr>
            <w:tcW w:type="dxa" w:w="3000"/>
          </w:tcPr>
          <w:p>
            <w:r>
              <w:rPr>
                <w:rFonts w:ascii="Consolas" w:cs="Consolas" w:eastAsia="Consolas" w:hAnsi="Consolas"/>
              </w:rPr>
              <w:t xml:space="preserve">Authentication, RBAC, audit logging</w:t>
            </w:r>
          </w:p>
        </w:tc>
        <w:tc>
          <w:tcPr>
            <w:tcW w:type="dxa" w:w="7000"/>
          </w:tcPr>
          <w:p>
            <w:r>
              <w:t xml:space="preserve">Issue #6 — hybrid SSO/local auth, role-based permissions, audit trail, admin console GUI.</w:t>
            </w:r>
          </w:p>
        </w:tc>
      </w:tr>
      <w:tr>
        <w:tc>
          <w:tcPr>
            <w:tcW w:type="dxa" w:w="3000"/>
          </w:tcPr>
          <w:p>
            <w:r>
              <w:rPr>
                <w:rFonts w:ascii="Consolas" w:cs="Consolas" w:eastAsia="Consolas" w:hAnsi="Consolas"/>
              </w:rPr>
              <w:t xml:space="preserve">RFQ parsing accuracy and speed</w:t>
            </w:r>
          </w:p>
        </w:tc>
        <w:tc>
          <w:tcPr>
            <w:tcW w:type="dxa" w:w="7000"/>
          </w:tcPr>
          <w:p>
            <w:r>
              <w:t xml:space="preserve">Issue #7 — 95% field-accuracy target, manual correction workflow, workbook/PDF parser resilience.</w:t>
            </w:r>
          </w:p>
        </w:tc>
      </w:tr>
    </w:tbl>
    <w:p>
      <w:pPr>
        <w:spacing w:after="120"/>
      </w:pPr>
      <w:r>
        <w:t xml:space="preserve">This spec does not repeat those — see the linked issues for detail.</w:t>
      </w:r>
    </w:p>
    <w:p>
      <w:pPr>
        <w:pStyle w:val="Heading1"/>
        <w:spacing w:after="160" w:before="320"/>
      </w:pPr>
      <w:r>
        <w:t xml:space="preserve">3. Test Coverage</w:t>
      </w:r>
    </w:p>
    <w:p>
      <w:pPr>
        <w:spacing w:after="120"/>
      </w:pPr>
      <w:r>
        <w:t xml:space="preserve">src/lib/rfq/__tests__ contains a single test file, despite CLAUDE.md documenting a TDD convention (“test first, watch it fail, then implement”) as the project's stated practice for domain logic. In its current state that convention isn't being followed in practice, and there is no safety net catching regressions in the gap engine, extraction, or matching logic as the codebase grows.</w:t>
      </w:r>
    </w:p>
    <w:p>
      <w:pPr>
        <w:pStyle w:val="ListParagraph"/>
        <w:numPr>
          <w:ilvl w:val="0"/>
          <w:numId w:val="1"/>
        </w:numPr>
        <w:spacing w:after="80"/>
      </w:pPr>
      <w:r>
        <w:t xml:space="preserve">Backfill unit tests for the core domain seams already called out in CLAUDE.md: reconcileGapsWithDocuments, gapFrom* functions, applySuppliedPackageDoc, parseRfqWorkbook, and the KB matching logic.</w:t>
      </w:r>
    </w:p>
    <w:p>
      <w:pPr>
        <w:pStyle w:val="ListParagraph"/>
        <w:numPr>
          <w:ilvl w:val="0"/>
          <w:numId w:val="1"/>
        </w:numPr>
        <w:spacing w:after="80"/>
      </w:pPr>
      <w:r>
        <w:t xml:space="preserve">Add integration-level tests for the API routes under src/app/api/rfq/*, api/extraction/*, and api/baseline/* — currently untested end to end.</w:t>
      </w:r>
    </w:p>
    <w:p>
      <w:pPr>
        <w:pStyle w:val="ListParagraph"/>
        <w:numPr>
          <w:ilvl w:val="0"/>
          <w:numId w:val="1"/>
        </w:numPr>
        <w:spacing w:after="80"/>
      </w:pPr>
      <w:r>
        <w:t xml:space="preserve">Establish a minimum coverage expectation for new code, enforced in CI (see Section 4) rather than left to reviewer discretion.</w:t>
      </w:r>
    </w:p>
    <w:p>
      <w:pPr>
        <w:pStyle w:val="Heading1"/>
        <w:spacing w:after="160" w:before="320"/>
      </w:pPr>
      <w:r>
        <w:t xml:space="preserve">4. CI/CD</w:t>
      </w:r>
    </w:p>
    <w:p>
      <w:pPr>
        <w:spacing w:after="120"/>
      </w:pPr>
      <w:r>
        <w:t xml:space="preserve">There is no .github/workflows directory — nothing runs npm run build, npm test, or npm run lint automatically on push or pull request. A broken build or a failing test can reach main unnoticed until someone runs the commands locally.</w:t>
      </w:r>
    </w:p>
    <w:p>
      <w:pPr>
        <w:pStyle w:val="ListParagraph"/>
        <w:numPr>
          <w:ilvl w:val="0"/>
          <w:numId w:val="1"/>
        </w:numPr>
        <w:spacing w:after="80"/>
      </w:pPr>
      <w:r>
        <w:t xml:space="preserve">Add a CI workflow that runs lint, typecheck (npm run build), and the Vitest suite on every PR and on pushes to main.</w:t>
      </w:r>
    </w:p>
    <w:p>
      <w:pPr>
        <w:pStyle w:val="ListParagraph"/>
        <w:numPr>
          <w:ilvl w:val="0"/>
          <w:numId w:val="1"/>
        </w:numPr>
        <w:spacing w:after="80"/>
      </w:pPr>
      <w:r>
        <w:t xml:space="preserve">Block merges on CI failure once coverage is high enough that false failures aren't constant friction.</w:t>
      </w:r>
    </w:p>
    <w:p>
      <w:pPr>
        <w:pStyle w:val="ListParagraph"/>
        <w:numPr>
          <w:ilvl w:val="0"/>
          <w:numId w:val="1"/>
        </w:numPr>
        <w:spacing w:after="80"/>
      </w:pPr>
      <w:r>
        <w:t xml:space="preserve">Consider a preview/staging deploy step once Section 7's deployment gaps are addressed, so a PR's changes can be reviewed running, not just read as a diff.</w:t>
      </w:r>
    </w:p>
    <w:p>
      <w:pPr>
        <w:pStyle w:val="Heading1"/>
        <w:spacing w:after="160" w:before="320"/>
      </w:pPr>
      <w:r>
        <w:t xml:space="preserve">5. Observability &amp; Error Handling</w:t>
      </w:r>
    </w:p>
    <w:p>
      <w:pPr>
        <w:spacing w:after="120"/>
      </w:pPr>
      <w:r>
        <w:t xml:space="preserve">Error handling today is five scattered console.error/console.log calls across the API routes, with no structured logging, no error tracking service (e.g. Sentry), and no way to see what's failing in production without SSHing into the EC2 host and reading PM2 logs directly.</w:t>
      </w:r>
    </w:p>
    <w:p>
      <w:pPr>
        <w:pStyle w:val="ListParagraph"/>
        <w:numPr>
          <w:ilvl w:val="0"/>
          <w:numId w:val="1"/>
        </w:numPr>
        <w:spacing w:after="80"/>
      </w:pPr>
      <w:r>
        <w:t xml:space="preserve">Introduce structured logging (e.g. pino) with consistent fields — request id, user id once #6 lands, route, latency, outcome — instead of ad hoc console calls.</w:t>
      </w:r>
    </w:p>
    <w:p>
      <w:pPr>
        <w:pStyle w:val="ListParagraph"/>
        <w:numPr>
          <w:ilvl w:val="0"/>
          <w:numId w:val="1"/>
        </w:numPr>
        <w:spacing w:after="80"/>
      </w:pPr>
      <w:r>
        <w:t xml:space="preserve">Add an error-tracking integration so failures (OpenAI errors, extraction failures, DB errors) surface as alerts, not silent log lines nobody's watching.</w:t>
      </w:r>
    </w:p>
    <w:p>
      <w:pPr>
        <w:pStyle w:val="ListParagraph"/>
        <w:numPr>
          <w:ilvl w:val="0"/>
          <w:numId w:val="1"/>
        </w:numPr>
        <w:spacing w:after="80"/>
      </w:pPr>
      <w:r>
        <w:t xml:space="preserve">Define what “healthy” means for this app (e.g. a /api/health route) so uptime/monitoring tooling has something to check.</w:t>
      </w:r>
    </w:p>
    <w:p>
      <w:pPr>
        <w:pStyle w:val="Heading1"/>
        <w:spacing w:after="160" w:before="320"/>
      </w:pPr>
      <w:r>
        <w:t xml:space="preserve">6. Data Layer &amp; Scalability</w:t>
      </w:r>
    </w:p>
    <w:p>
      <w:pPr>
        <w:spacing w:after="120"/>
      </w:pPr>
      <w:r>
        <w:t xml:space="preserve">data/rfq.sqlite is a single file on one EC2 host, accessed via better-sqlite3. That's a reasonable choice for a single-instance internal tool, but it carries commercial-grade risks worth naming explicitly rather than discovering under pressure:</w:t>
      </w:r>
    </w:p>
    <w:p>
      <w:pPr>
        <w:pStyle w:val="ListParagraph"/>
        <w:numPr>
          <w:ilvl w:val="0"/>
          <w:numId w:val="1"/>
        </w:numPr>
        <w:spacing w:after="80"/>
      </w:pPr>
      <w:r>
        <w:t xml:space="preserve">No backup/restore strategy — a disk failure or bad migration on that one file loses the knowledge base, parse sessions, and gap findings with no recovery path.</w:t>
      </w:r>
    </w:p>
    <w:p>
      <w:pPr>
        <w:pStyle w:val="ListParagraph"/>
        <w:numPr>
          <w:ilvl w:val="0"/>
          <w:numId w:val="1"/>
        </w:numPr>
        <w:spacing w:after="80"/>
      </w:pPr>
      <w:r>
        <w:t xml:space="preserve">No replication — the app cannot run more than one instance concurrently against this store, which caps both availability (no failover) and horizontal scaling.</w:t>
      </w:r>
    </w:p>
    <w:p>
      <w:pPr>
        <w:pStyle w:val="ListParagraph"/>
        <w:numPr>
          <w:ilvl w:val="0"/>
          <w:numId w:val="1"/>
        </w:numPr>
        <w:spacing w:after="80"/>
      </w:pPr>
      <w:r>
        <w:t xml:space="preserve">No migration tooling visible — schema changes today are ad hoc CREATE TABLE IF NOT EXISTS blocks in rfqDb.ts rather than versioned migrations, which gets harder to reason about as the schema grows (especially once #6's users/audit_log tables land).</w:t>
      </w:r>
    </w:p>
    <w:p>
      <w:pPr>
        <w:spacing w:after="120"/>
      </w:pPr>
      <w:r>
        <w:t xml:space="preserve">Proposed direction: start with scheduled backups of the SQLite file and a documented restore procedure as the immediate fix; treat a move to a server-based database (e.g. Postgres) as a larger, separate decision once multi-instance deployment or write concurrency actually becomes a bottleneck — not a prerequisite to shipping the nearer-term items in this spec.</w:t>
      </w:r>
    </w:p>
    <w:p>
      <w:pPr>
        <w:pStyle w:val="Heading1"/>
        <w:spacing w:after="160" w:before="320"/>
      </w:pPr>
      <w:r>
        <w:t xml:space="preserve">7. API Protection &amp; Cost Control</w:t>
      </w:r>
    </w:p>
    <w:p>
      <w:pPr>
        <w:spacing w:after="120"/>
      </w:pPr>
      <w:r>
        <w:t xml:space="preserve">There is no rate limiting anywhere in the API routes today. Combined with several routes calling OpenAI directly, this is both a basic abuse-prevention gap and a cost-control gap — nothing currently caps how much a single user or a runaway client script could spend against the OpenAI account in a day.</w:t>
      </w:r>
    </w:p>
    <w:p>
      <w:pPr>
        <w:pStyle w:val="ListParagraph"/>
        <w:numPr>
          <w:ilvl w:val="0"/>
          <w:numId w:val="1"/>
        </w:numPr>
        <w:spacing w:after="80"/>
      </w:pPr>
      <w:r>
        <w:t xml:space="preserve">Add per-user and per-IP rate limiting on the API routes, especially the OpenAI-backed ones (extraction, gap analysis, KB inquiry, costing).</w:t>
      </w:r>
    </w:p>
    <w:p>
      <w:pPr>
        <w:pStyle w:val="ListParagraph"/>
        <w:numPr>
          <w:ilvl w:val="0"/>
          <w:numId w:val="1"/>
        </w:numPr>
        <w:spacing w:after="80"/>
      </w:pPr>
      <w:r>
        <w:t xml:space="preserve">Add a visible per-user or per-day spend cap / usage counter for OpenAI-backed endpoints, so a stuck retry loop or a misbehaving client can't run up an unbounded bill.</w:t>
      </w:r>
    </w:p>
    <w:p>
      <w:pPr>
        <w:pStyle w:val="ListParagraph"/>
        <w:numPr>
          <w:ilvl w:val="0"/>
          <w:numId w:val="1"/>
        </w:numPr>
        <w:spacing w:after="80"/>
      </w:pPr>
      <w:r>
        <w:t xml:space="preserve">These checks compose naturally with #6's RBAC layer — the same server-side guard that checks role can carry the rate/usage check.</w:t>
      </w:r>
    </w:p>
    <w:p>
      <w:pPr>
        <w:pStyle w:val="Heading1"/>
        <w:spacing w:after="160" w:before="320"/>
      </w:pPr>
      <w:r>
        <w:t xml:space="preserve">8. Secrets &amp; Configuration Management</w:t>
      </w:r>
    </w:p>
    <w:p>
      <w:pPr>
        <w:spacing w:after="120"/>
      </w:pPr>
      <w:r>
        <w:t xml:space="preserve">There is no .env.example in the repo, so the environment variables this app actually requires (OpenAI keys, model overrides, DB paths, etc.) aren't discoverable without reading through source — a real onboarding and operability gap.</w:t>
      </w:r>
    </w:p>
    <w:p>
      <w:pPr>
        <w:pStyle w:val="ListParagraph"/>
        <w:numPr>
          <w:ilvl w:val="0"/>
          <w:numId w:val="1"/>
        </w:numPr>
        <w:spacing w:after="80"/>
      </w:pPr>
      <w:r>
        <w:t xml:space="preserve">Add a committed .env.example enumerating every required/optional environment variable with a one-line description each, kept in sync as new ones are introduced.</w:t>
      </w:r>
    </w:p>
    <w:p>
      <w:pPr>
        <w:pStyle w:val="ListParagraph"/>
        <w:numPr>
          <w:ilvl w:val="0"/>
          <w:numId w:val="1"/>
        </w:numPr>
        <w:spacing w:after="80"/>
      </w:pPr>
      <w:r>
        <w:t xml:space="preserve">Document where production secrets actually live today (e.g. on the EC2 host) and whether that should move to a managed secrets store as the team using this grows.</w:t>
      </w:r>
    </w:p>
    <w:p>
      <w:pPr>
        <w:pStyle w:val="Heading1"/>
        <w:spacing w:after="160" w:before="320"/>
      </w:pPr>
      <w:r>
        <w:t xml:space="preserve">9. Deployment &amp; Release Resilience</w:t>
      </w:r>
    </w:p>
    <w:p>
      <w:pPr>
        <w:spacing w:after="120"/>
      </w:pPr>
      <w:r>
        <w:t xml:space="preserve">Production is a single PM2-managed Next.js process on one EC2 host (ecosystem.config.cjs), per npm run deploy:pm2. There is no staging environment and no documented rollback procedure if a deploy breaks production.</w:t>
      </w:r>
    </w:p>
    <w:p>
      <w:pPr>
        <w:pStyle w:val="ListParagraph"/>
        <w:numPr>
          <w:ilvl w:val="0"/>
          <w:numId w:val="1"/>
        </w:numPr>
        <w:spacing w:after="80"/>
      </w:pPr>
      <w:r>
        <w:t xml:space="preserve">Stand up a staging environment that mirrors production closely enough to catch issues before they reach the single production host.</w:t>
      </w:r>
    </w:p>
    <w:p>
      <w:pPr>
        <w:pStyle w:val="ListParagraph"/>
        <w:numPr>
          <w:ilvl w:val="0"/>
          <w:numId w:val="1"/>
        </w:numPr>
        <w:spacing w:after="80"/>
      </w:pPr>
      <w:r>
        <w:t xml:space="preserve">Document (or script) a rollback procedure — e.g. redeploying the previous build artifact or git ref — so a bad deploy has a known fast fix rather than an improvised one.</w:t>
      </w:r>
    </w:p>
    <w:p>
      <w:pPr>
        <w:pStyle w:val="ListParagraph"/>
        <w:numPr>
          <w:ilvl w:val="0"/>
          <w:numId w:val="1"/>
        </w:numPr>
        <w:spacing w:after="80"/>
      </w:pPr>
      <w:r>
        <w:t xml:space="preserve">Once CI (Section 4) exists, gate deploys on it passing, rather than deploying whatever is currently checked out.</w:t>
      </w:r>
    </w:p>
    <w:p>
      <w:pPr>
        <w:pStyle w:val="Heading1"/>
        <w:spacing w:after="160" w:before="320"/>
      </w:pPr>
      <w:r>
        <w:t xml:space="preserve">10. Open Items</w:t>
      </w:r>
    </w:p>
    <w:p>
      <w:pPr>
        <w:pStyle w:val="ListParagraph"/>
        <w:numPr>
          <w:ilvl w:val="0"/>
          <w:numId w:val="1"/>
        </w:numPr>
        <w:spacing w:after="80"/>
      </w:pPr>
      <w:r>
        <w:t xml:space="preserve">Prioritization: which of these areas matter most given where the product is headed and its current user base — this spec deliberately does not sequence them.</w:t>
      </w:r>
    </w:p>
    <w:p>
      <w:pPr>
        <w:pStyle w:val="ListParagraph"/>
        <w:numPr>
          <w:ilvl w:val="0"/>
          <w:numId w:val="1"/>
        </w:numPr>
        <w:spacing w:after="80"/>
      </w:pPr>
      <w:r>
        <w:t xml:space="preserve">Whether any of these are blocking for a specific near-term milestone (e.g. a first external customer, a compliance review) versus general hardening that can happen incrementally.</w:t>
      </w:r>
    </w:p>
    <w:p>
      <w:pPr>
        <w:pStyle w:val="ListParagraph"/>
        <w:numPr>
          <w:ilvl w:val="0"/>
          <w:numId w:val="1"/>
        </w:numPr>
        <w:spacing w:after="80"/>
      </w:pPr>
      <w:r>
        <w:t xml:space="preserve">Ownership — several of these (CI, observability, deployment) are cross-cutting infrastructure work distinct from the product-feature work in #6 and #7, and may want a different owner or sequencing.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2026-07-25T15:33:16.005Z</dcterms:created>
  <dcterms:modified xsi:type="dcterms:W3CDTF">2026-07-25T15:33:16.031Z</dcterms:modified>
</cp:coreProperties>
</file>

<file path=docProps/custom.xml><?xml version="1.0" encoding="utf-8"?>
<Properties xmlns="http://schemas.openxmlformats.org/officeDocument/2006/custom-properties" xmlns:vt="http://schemas.openxmlformats.org/officeDocument/2006/docPropsVTypes"/>
</file>