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56"/>
          <w:szCs w:val="56"/>
        </w:rPr>
        <w:t xml:space="preserve">RFQ Assistant</w:t>
      </w:r>
    </w:p>
    <w:p>
      <w:pPr>
        <w:spacing w:after="40"/>
      </w:pPr>
      <w:r>
        <w:rPr>
          <w:sz w:val="32"/>
          <w:szCs w:val="32"/>
        </w:rPr>
        <w:t xml:space="preserve">Authentication, Authorization &amp; Audit Logging</w:t>
      </w:r>
    </w:p>
    <w:p>
      <w:pPr>
        <w:spacing w:after="300"/>
      </w:pPr>
      <w:r>
        <w:rPr>
          <w:b/>
          <w:bCs/>
          <w:color w:val="1A2332"/>
          <w:sz w:val="32"/>
          <w:szCs w:val="32"/>
        </w:rPr>
        <w:t xml:space="preserve">Design Spec</w:t>
      </w:r>
    </w:p>
    <w:p>
      <w:pPr>
        <w:spacing w:after="40"/>
      </w:pPr>
      <w:r>
        <w:rPr>
          <w:i/>
          <w:iCs/>
          <w:color w:val="555555"/>
        </w:rPr>
        <w:t xml:space="preserve">Prepared for internal engineering review</w:t>
      </w:r>
    </w:p>
    <w:p>
      <w:pPr>
        <w:spacing w:after="600"/>
      </w:pPr>
      <w:r>
        <w:rPr>
          <w:i/>
          <w:iCs/>
          <w:color w:val="555555"/>
        </w:rPr>
        <w:t xml:space="preserve">Status: Draft — open items flagged for decision</w:t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20"/>
      </w:pPr>
      <w:r>
        <w:t xml:space="preserve">rfq-ui currently has no authentication or authorization model that would satisfy a standard US corporate security review. This note specifies a hybrid authentication design (corporate SSO plus a small local-account fallback), a role-based permission model, and an audit logging system, so the tool can move from a single shared hardcoded login to individually attributable, permissioned, and auditable access.</w:t>
      </w:r>
    </w:p>
    <w:p>
      <w:pPr>
        <w:pStyle w:val="Heading1"/>
        <w:spacing w:after="160" w:before="320"/>
      </w:pPr>
      <w:r>
        <w:t xml:space="preserve">2. Current State</w:t>
      </w:r>
    </w:p>
    <w:p>
      <w:pPr>
        <w:spacing w:after="120"/>
      </w:pPr>
      <w:r>
        <w:t xml:space="preserve">As implemented today (src/components/auth/rfqAuth.ts):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single hardcoded username/password pair, shared by every user of the tool.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“Authentication” is a client-side flag in localStorage or sessionStorage — there is no server-side session, and the flag can be set by anyone with browser dev tools.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concept of individual user identity: there is no users table, so no action taken in the app can be attributed to a specific person.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roles or permission checks anywhere in the API routes — every authenticated browser can do everything.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audit trail: logins, data changes, extraction runs, and quote generation are all unlogged.</w:t>
      </w:r>
    </w:p>
    <w:p>
      <w:pPr>
        <w:spacing w:after="120"/>
      </w:pPr>
      <w:r>
        <w:rPr>
          <w:b/>
          <w:bCs/>
        </w:rPr>
        <w:t xml:space="preserve">This does not meet basic expectations for a corporate tool that touches customer RFQ data, supplier costs, and quoting — individual accountability and an audit trail are baseline requirements, not stretch goals.</w:t>
      </w:r>
    </w:p>
    <w:p>
      <w:pPr>
        <w:pStyle w:val="Heading1"/>
        <w:spacing w:after="160" w:before="320"/>
      </w:pPr>
      <w:r>
        <w:t xml:space="preserve">3. Goals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session is tied to a real, individually identifiable user — no shared credentials.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Corporate employees can sign in with the company identity provider (SSO); a small, tightly controlled set of local accounts exists as a break-glass fallback.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 to actions and data is governed by role, enforced server-side on every API route, not just hidden in the UI.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authentication event and every data-changing action is recorded in an audit log with who, what, when, and outcome.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audit log is tamper-evident enough for an internal review, and exportable for a compliance audit.</w:t>
      </w:r>
    </w:p>
    <w:p>
      <w:pPr>
        <w:pStyle w:val="Heading1"/>
        <w:spacing w:after="160" w:before="320"/>
      </w:pPr>
      <w:r>
        <w:t xml:space="preserve">4. Authentication</w:t>
      </w:r>
    </w:p>
    <w:p>
      <w:pPr>
        <w:pStyle w:val="Heading2"/>
        <w:spacing w:after="120" w:before="240"/>
      </w:pPr>
      <w:r>
        <w:t xml:space="preserve">4.1 Hybrid model</w:t>
      </w:r>
    </w:p>
    <w:p>
      <w:pPr>
        <w:spacing w:after="120"/>
      </w:pPr>
      <w:r>
        <w:t xml:space="preserve">SSO is the primary path for corporate employees; local username/password accounts are reserved for a small admin/break-glass set (e.g. a fallback admin login for when the identity provider is unavailable), not offered as a parallel option to every user. This keeps one system as the default while avoiding a hard dependency on the IdP for basic operability.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400"/>
      </w:tblGrid>
      <w:tr>
        <w:trPr>
          <w:tblHeader/>
        </w:trPr>
        <w:tc>
          <w:tcPr>
            <w:tcW w:type="dxa" w:w="2400"/>
            <w:shd w:fill="1A2332" w:val="clear"/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200"/>
            <w:shd w:fill="1A2332" w:val="clear"/>
          </w:tcPr>
          <w:p>
            <w:r>
              <w:rPr>
                <w:b/>
                <w:bCs/>
                <w:color w:val="FFFFFF"/>
              </w:rPr>
              <w:t xml:space="preserve">Who uses it</w:t>
            </w:r>
          </w:p>
        </w:tc>
        <w:tc>
          <w:tcPr>
            <w:tcW w:type="dxa" w:w="4400"/>
            <w:shd w:fill="1A2332" w:val="clear"/>
          </w:tcPr>
          <w:p>
            <w:r>
              <w:rPr>
                <w:b/>
                <w:bCs/>
                <w:color w:val="FFFFFF"/>
              </w:rPr>
              <w:t xml:space="preserve">Mechanism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</w:rPr>
              <w:t xml:space="preserve">Corporate SSO</w:t>
            </w:r>
          </w:p>
        </w:tc>
        <w:tc>
          <w:tcPr>
            <w:tcW w:type="dxa" w:w="3200"/>
          </w:tcPr>
          <w:p>
            <w:r>
              <w:t xml:space="preserve">All standard employee users</w:t>
            </w:r>
          </w:p>
        </w:tc>
        <w:tc>
          <w:tcPr>
            <w:tcW w:type="dxa" w:w="4400"/>
          </w:tcPr>
          <w:p>
            <w:r>
              <w:t xml:space="preserve">OIDC or SAML against the company identity provider (Okta / Azure AD / Google Workspace — provider TBD, see Open Items)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</w:rPr>
              <w:t xml:space="preserve">Local account</w:t>
            </w:r>
          </w:p>
        </w:tc>
        <w:tc>
          <w:tcPr>
            <w:tcW w:type="dxa" w:w="3200"/>
          </w:tcPr>
          <w:p>
            <w:r>
              <w:t xml:space="preserve">A small, named set of admin/break-glass accounts only</w:t>
            </w:r>
          </w:p>
        </w:tc>
        <w:tc>
          <w:tcPr>
            <w:tcW w:type="dxa" w:w="4400"/>
          </w:tcPr>
          <w:p>
            <w:r>
              <w:t xml:space="preserve">Username + password, hashed with argon2 or bcrypt, stored in the app's own users table</w:t>
            </w:r>
          </w:p>
        </w:tc>
      </w:tr>
    </w:tbl>
    <w:p>
      <w:pPr>
        <w:pStyle w:val="Heading2"/>
        <w:spacing w:after="120" w:before="240"/>
      </w:pPr>
      <w:r>
        <w:t xml:space="preserve">4.2 Account linking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user row can have an SSO subject identifier, a local password hash, or both — never neither.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New SSO sign-in: </w:t>
      </w:r>
      <w:r>
        <w:t xml:space="preserve">if the IdP-asserted email matches an existing user record, the session attaches to that user. If no match exists, the account is provisioned automatically only if auto-provisioning is enabled for that IdP group/role; otherwise sign-in is rejected pending an admin invite.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accounts are created by an admin only — no public self-registration for the local path.</w:t>
      </w:r>
    </w:p>
    <w:p>
      <w:pPr>
        <w:pStyle w:val="Heading2"/>
        <w:spacing w:after="120" w:before="240"/>
      </w:pPr>
      <w:r>
        <w:t xml:space="preserve">4.3 Sessions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Server-side sessions (e.g. NextAuth/Auth.js session store), not a client-side flag.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 cookie: httpOnly, secure, sameSite=lax, short-lived with sliding expiration (proposed: 8-hour idle timeout, 24-hour absolute max — see Open Items).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Logout invalidates the server-side session, not just a client-side flag.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Failed local-login attempts are rate-limited per account and per IP to blunt credential stuffing.</w:t>
      </w:r>
    </w:p>
    <w:p>
      <w:pPr>
        <w:pStyle w:val="Heading1"/>
        <w:spacing w:after="160" w:before="320"/>
      </w:pPr>
      <w:r>
        <w:t xml:space="preserve">5. Authorization (RBAC)</w:t>
      </w:r>
    </w:p>
    <w:p>
      <w:pPr>
        <w:spacing w:after="120"/>
      </w:pPr>
      <w:r>
        <w:t xml:space="preserve">Proposed default is a two-tier model — admin and user — kept intentionally simple to start. A finer-grained model (e.g. adding a read-only viewer role) is a natural follow-up once real usage patterns are clearer; this is flagged as an open item below rather than decided here.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rPr>
          <w:tblHeader/>
        </w:trPr>
        <w:tc>
          <w:tcPr>
            <w:tcW w:type="dxa" w:w="2200"/>
            <w:shd w:fill="1A2332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800"/>
            <w:shd w:fill="1A2332" w:val="clear"/>
          </w:tcPr>
          <w:p>
            <w:r>
              <w:rPr>
                <w:b/>
                <w:bCs/>
                <w:color w:val="FFFFFF"/>
              </w:rPr>
              <w:t xml:space="preserve">Can do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</w:rPr>
              <w:t xml:space="preserve">admin</w:t>
            </w:r>
          </w:p>
        </w:tc>
        <w:tc>
          <w:tcPr>
            <w:tcW w:type="dxa" w:w="7800"/>
          </w:tcPr>
          <w:p>
            <w:r>
              <w:t xml:space="preserve">Everything a user can do, plus: manage user accounts and roles, configure SSO/IdP settings, view and export the audit log, manage knowledge-base categories and match settings.</w:t>
            </w:r>
          </w:p>
        </w:tc>
      </w:tr>
      <w:tr>
        <w:tc>
          <w:tcPr>
            <w:tcW w:type="dxa" w:w="2200"/>
          </w:tcPr>
          <w:p>
            <w:r>
              <w:rPr>
                <w:rFonts w:ascii="Consolas" w:cs="Consolas" w:eastAsia="Consolas" w:hAnsi="Consolas"/>
              </w:rPr>
              <w:t xml:space="preserve">user</w:t>
            </w:r>
          </w:p>
        </w:tc>
        <w:tc>
          <w:tcPr>
            <w:tcW w:type="dxa" w:w="7800"/>
          </w:tcPr>
          <w:p>
            <w:r>
              <w:t xml:space="preserve">Upload and extract RFQs, run gap analysis, use the costing/quoting assistant, view and search the historical knowledge base. Cannot manage users, roles, or system configuration, and cannot view the audit log.</w:t>
            </w:r>
          </w:p>
        </w:tc>
      </w:tr>
    </w:tbl>
    <w:p>
      <w:pPr>
        <w:spacing w:after="120"/>
      </w:pPr>
      <w:r>
        <w:t xml:space="preserve">Enforcement: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 checks live in a shared server-side guard used by every API route under src/app/api/rfq/*, src/app/api/extraction/*, and src/app/api/baseline/* — never enforced only in the UI.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denied request returns 403 and is itself an audit event (see Section 6).</w:t>
      </w:r>
    </w:p>
    <w:p>
      <w:pPr>
        <w:pStyle w:val="Heading1"/>
        <w:spacing w:after="160" w:before="320"/>
      </w:pPr>
      <w:r>
        <w:t xml:space="preserve">6. Audit Logging</w:t>
      </w:r>
    </w:p>
    <w:p>
      <w:pPr>
        <w:spacing w:after="120"/>
      </w:pPr>
      <w:r>
        <w:t xml:space="preserve">Proposed scope is auth events plus all data-changing actions — the level typically expected in an internal or SOC 2-style access review. Logging read access to individual RFQs/customer data is treated as a further-out option, only needed if that data is classified as sensitive or regulated (flagged as an open item).</w:t>
      </w:r>
    </w:p>
    <w:p>
      <w:pPr>
        <w:pStyle w:val="Heading2"/>
        <w:spacing w:after="120" w:before="240"/>
      </w:pPr>
      <w:r>
        <w:t xml:space="preserve">6.1 Events captured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Authentication: login success, login failure (with reason: bad password, unknown user, SSO denial), logout, session expiry.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Authorization: any request denied by a role check (403).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Account admin: user created, role changed, account disabled/enabled, local password reset.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changes: RFQ created/edited/deleted, gap findings updated or overridden, knowledge-base entries added/edited/removed, match settings changed, extraction run started/completed/failed, quote generated.</w:t>
      </w:r>
    </w:p>
    <w:p>
      <w:pPr>
        <w:pStyle w:val="Heading2"/>
        <w:spacing w:after="120" w:before="240"/>
      </w:pPr>
      <w:r>
        <w:t xml:space="preserve">6.2 Record shape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fill="1A2332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600"/>
            <w:shd w:fill="1A233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</w:rPr>
              <w:t xml:space="preserve">timestamp</w:t>
            </w:r>
          </w:p>
        </w:tc>
        <w:tc>
          <w:tcPr>
            <w:tcW w:type="dxa" w:w="7600"/>
          </w:tcPr>
          <w:p>
            <w:r>
              <w:t xml:space="preserve">UTC time of the event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</w:rPr>
              <w:t xml:space="preserve">actor_user_id / actor_email</w:t>
            </w:r>
          </w:p>
        </w:tc>
        <w:tc>
          <w:tcPr>
            <w:tcW w:type="dxa" w:w="7600"/>
          </w:tcPr>
          <w:p>
            <w:r>
              <w:t xml:space="preserve">Who performed the action (null for unauthenticated failed-login attempts, which still log the attempted username)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</w:rPr>
              <w:t xml:space="preserve">action</w:t>
            </w:r>
          </w:p>
        </w:tc>
        <w:tc>
          <w:tcPr>
            <w:tcW w:type="dxa" w:w="7600"/>
          </w:tcPr>
          <w:p>
            <w:r>
              <w:t xml:space="preserve">Machine-readable event type, e.g. auth.login_success, rfq.gap_finding.override, kb.entry.delete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</w:rPr>
              <w:t xml:space="preserve">resource_type / resource_id</w:t>
            </w:r>
          </w:p>
        </w:tc>
        <w:tc>
          <w:tcPr>
            <w:tcW w:type="dxa" w:w="7600"/>
          </w:tcPr>
          <w:p>
            <w:r>
              <w:t xml:space="preserve">What was acted on, e.g. rfq_case / “RFQ-2031”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</w:rPr>
              <w:t xml:space="preserve">result</w:t>
            </w:r>
          </w:p>
        </w:tc>
        <w:tc>
          <w:tcPr>
            <w:tcW w:type="dxa" w:w="7600"/>
          </w:tcPr>
          <w:p>
            <w:r>
              <w:t xml:space="preserve">success | failure, plus a short reason on failure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</w:rPr>
              <w:t xml:space="preserve">ip_address</w:t>
            </w:r>
          </w:p>
        </w:tc>
        <w:tc>
          <w:tcPr>
            <w:tcW w:type="dxa" w:w="7600"/>
          </w:tcPr>
          <w:p>
            <w:r>
              <w:t xml:space="preserve">Source IP of the request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</w:rPr>
              <w:t xml:space="preserve">details_json</w:t>
            </w:r>
          </w:p>
        </w:tc>
        <w:tc>
          <w:tcPr>
            <w:tcW w:type="dxa" w:w="7600"/>
          </w:tcPr>
          <w:p>
            <w:r>
              <w:t xml:space="preserve">Action-specific context (e.g. fields changed, old/new values for overrides)</w:t>
            </w:r>
          </w:p>
        </w:tc>
      </w:tr>
    </w:tbl>
    <w:p>
      <w:pPr>
        <w:pStyle w:val="Heading2"/>
        <w:spacing w:after="120" w:before="240"/>
      </w:pPr>
      <w:r>
        <w:t xml:space="preserve">6.3 Storage, retention, and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audit_log table in the existing SQLite store (data/rfq.sqlite), append-only from the application's perspective — no UPDATE/DELETE path exposed via the API.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Retention: proposed 1 year online, configurable (see Open Items).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Visible only to the admin role, with CSV export for handing to a compliance reviewer.</w:t>
      </w:r>
    </w:p>
    <w:p>
      <w:pPr>
        <w:pStyle w:val="Heading1"/>
        <w:spacing w:after="160" w:before="320"/>
      </w:pPr>
      <w:r>
        <w:t xml:space="preserve">7. Data Model Impact</w:t>
      </w:r>
    </w:p>
    <w:p>
      <w:pPr>
        <w:spacing w:after="120"/>
      </w:pPr>
      <w:r>
        <w:t xml:space="preserve">New tables required — there are no user, session, or audit tables in the schema today: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users — id, email, display_name, role, auth_provider (local | sso), password_hash (nullable), sso_subject_id (nullable), is_active, created_at, last_login_at.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audit_log — as described in 6.2, indexed by timestamp and actor_user_id.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Sessions are managed by the auth library's own store (e.g. NextAuth's session table/JWT), not a new bespoke table.</w:t>
      </w:r>
    </w:p>
    <w:p>
      <w:pPr>
        <w:pStyle w:val="Heading1"/>
        <w:spacing w:after="160" w:before="320"/>
      </w:pPr>
      <w:r>
        <w:t xml:space="preserve">8. Migration &amp; Rollout Plan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fill="1A2332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600"/>
            <w:shd w:fill="1A2332" w:val="clear"/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</w:rPr>
              <w:t xml:space="preserve">1. Foundation</w:t>
            </w:r>
          </w:p>
        </w:tc>
        <w:tc>
          <w:tcPr>
            <w:tcW w:type="dxa" w:w="7600"/>
          </w:tcPr>
          <w:p>
            <w:r>
              <w:t xml:space="preserve">Add users and audit_log tables; build local-account login (hashed passwords) and server-side sessions, replacing the localStorage flag. Migrate the single hardcoded login to one seeded admin account.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</w:rPr>
              <w:t xml:space="preserve">2. SSO integration</w:t>
            </w:r>
          </w:p>
        </w:tc>
        <w:tc>
          <w:tcPr>
            <w:tcW w:type="dxa" w:w="7600"/>
          </w:tcPr>
          <w:p>
            <w:r>
              <w:t xml:space="preserve">Wire up the chosen identity provider (OIDC/SAML); enable SSO sign-in alongside local accounts.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</w:rPr>
              <w:t xml:space="preserve">3. RBAC enforcement</w:t>
            </w:r>
          </w:p>
        </w:tc>
        <w:tc>
          <w:tcPr>
            <w:tcW w:type="dxa" w:w="7600"/>
          </w:tcPr>
          <w:p>
            <w:r>
              <w:t xml:space="preserve">Add role checks to every API route; move existing UI-only gating (if any) to be backed by server-side checks.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</w:rPr>
              <w:t xml:space="preserve">4. Audit coverage</w:t>
            </w:r>
          </w:p>
        </w:tc>
        <w:tc>
          <w:tcPr>
            <w:tcW w:type="dxa" w:w="7600"/>
          </w:tcPr>
          <w:p>
            <w:r>
              <w:t xml:space="preserve">Instrument data-changing actions and auth events per Section 6; ship the admin-only audit log view and CSV export.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</w:rPr>
              <w:t xml:space="preserve">5. Cutover</w:t>
            </w:r>
          </w:p>
        </w:tc>
        <w:tc>
          <w:tcPr>
            <w:tcW w:type="dxa" w:w="7600"/>
          </w:tcPr>
          <w:p>
            <w:r>
              <w:t xml:space="preserve">Disable the legacy hardcoded credential path entirely; confirm every active user has either an SSO identity or a provisioned local account.</w:t>
            </w:r>
          </w:p>
        </w:tc>
      </w:tr>
    </w:tbl>
    <w:p>
      <w:pPr>
        <w:pStyle w:val="Heading1"/>
        <w:spacing w:after="160" w:before="320"/>
      </w:pPr>
      <w:r>
        <w:t xml:space="preserve">9. Security Considerations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password hashing via argon2id (preferred) or bcrypt — never plaintext or reversible encryption.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MFA is delegated to the corporate IdP for SSO users; local admin/break-glass accounts should still get a second factor (e.g. TOTP) given their elevated privilege.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 cookies: httpOnly, secure, sameSite=lax; no auth state kept in localStorage.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Rate limiting and lockout on repeated local-login failures.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Principle of least privilege: local accounts are the exception, not the default, and should be reviewed periodically (who has one, why, is it still needed).</w:t>
      </w:r>
    </w:p>
    <w:p>
      <w:pPr>
        <w:pStyle w:val="Heading1"/>
        <w:spacing w:after="160" w:before="320"/>
      </w:pPr>
      <w:r>
        <w:t xml:space="preserve">10. Open Items Before Building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Which corporate identity provider to integrate with (Okta / Azure AD / Google Workspace / other), and who owns obtaining the client ID, secret, and tenant details.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two-tier role model (admin/user) is sufficient, or whether a third tier (e.g. read-only viewer) is needed at launch.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audit scope: auth + data changes (proposed) vs. also logging read access to individual RFQ/customer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 log retention period (proposed: 1 year) and whether older records need to be archived rather than deleted.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 idle/absolute timeout values (proposed: 8-hour idle, 24-hour absolute).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Break-glass account policy: how many local admin accounts exist, who holds the credentials, and how often they're rotated/reviewed.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2026-07-25T14:49:21.403Z</dcterms:created>
  <dcterms:modified xsi:type="dcterms:W3CDTF">2026-07-25T14:49:21.404Z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