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건축물 사용승인 절차에 관한 규칙</w:t>
      </w:r>
    </w:p>
    <w:p>
      <w:pPr>
        <w:jc w:val="center"/>
      </w:pPr>
      <w:r>
        <w:rPr>
          <w:color w:val="666666"/>
          <w:sz w:val="18"/>
          <w:szCs w:val="18"/>
        </w:rPr>
        <w:t xml:space="preserve">문서번호 ADMIN-11000-000210 · 시행일 2026-02-15 · 공개</w:t>
      </w:r>
    </w:p>
    <w:p/>
    <w:p>
      <w:pPr>
        <w:pStyle w:val="Heading2"/>
      </w:pPr>
      <w:r>
        <w:rPr>
          <w:b/>
          <w:bCs/>
        </w:rPr>
        <w:t xml:space="preserve">제1조(신청)</w:t>
      </w:r>
    </w:p>
    <w:p>
      <w:r>
        <w:t xml:space="preserve">건축주는 공사를 완료한 후 사용승인을 받으려면 사용승인 신청서에 필요한 서류를 첨부하여 허가권자에게 제출하여야 한다.</w:t>
      </w:r>
    </w:p>
    <w:p/>
    <w:p>
      <w:pPr>
        <w:pStyle w:val="Heading2"/>
      </w:pPr>
      <w:r>
        <w:rPr>
          <w:b/>
          <w:bCs/>
        </w:rPr>
        <w:t xml:space="preserve">제2조(제출 서류)</w:t>
      </w:r>
    </w:p>
    <w:p>
      <w:r>
        <w:t xml:space="preserve">사용승인 신청 시 제출하여야 하는 서류의 종류와 제출 여부는 다음 표에 따른다. 전자적 방법으로 제출하는 것을 원칙으로 한다.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F0EC"/>
          </w:tcPr>
          <w:p>
            <w:r>
              <w:rPr>
                <w:b/>
                <w:bCs/>
              </w:rPr>
              <w:t xml:space="preserve">서류명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8F0EC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사용승인 신청서</w:t>
            </w:r>
          </w:p>
        </w:tc>
        <w:tc>
          <w:p>
            <w:r>
              <w:t xml:space="preserve">필수</w:t>
            </w:r>
          </w:p>
        </w:tc>
        <w:tc>
          <w:p>
            <w:r>
              <w:t xml:space="preserve">정본 1부</w:t>
            </w:r>
          </w:p>
        </w:tc>
      </w:tr>
      <w:tr>
        <w:tc>
          <w:p>
            <w:r>
              <w:t xml:space="preserve">감리완료보고서</w:t>
            </w:r>
          </w:p>
        </w:tc>
        <w:tc>
          <w:p>
            <w:r>
              <w:t xml:space="preserve">필수</w:t>
            </w:r>
          </w:p>
        </w:tc>
        <w:tc>
          <w:p>
            <w:r>
              <w:t xml:space="preserve">감리자 날인</w:t>
            </w:r>
          </w:p>
        </w:tc>
      </w:tr>
      <w:tr>
        <w:tc>
          <w:p>
            <w:r>
              <w:t xml:space="preserve">에너지효율 등급 인증서</w:t>
            </w:r>
          </w:p>
        </w:tc>
        <w:tc>
          <w:p>
            <w:r>
              <w:t xml:space="preserve">해당 시</w:t>
            </w:r>
          </w:p>
        </w:tc>
        <w:tc>
          <w:p>
            <w:r>
              <w:t xml:space="preserve">대상 건축물에 한함</w:t>
            </w:r>
          </w:p>
        </w:tc>
      </w:tr>
      <w:tr>
        <w:tc>
          <w:p>
            <w:r>
              <w:t xml:space="preserve">소방시설 완공검사 증명서</w:t>
            </w:r>
          </w:p>
        </w:tc>
        <w:tc>
          <w:p>
            <w:r>
              <w:t xml:space="preserve">필수</w:t>
            </w:r>
          </w:p>
        </w:tc>
        <w:tc>
          <w:p>
            <w:r>
              <w:t xml:space="preserve">소방서 발급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제3조(검사)</w:t>
      </w:r>
    </w:p>
    <w:p>
      <w:r>
        <w:t xml:space="preserve">허가권자는 신청을 접수한 날부터 7일 이내에 건축물이 설계도서대로 시공되었는지를 검사하여야 한다. 다만 대규모 건축물의 경우 검사 기간을 연장할 수 있다.</w:t>
      </w:r>
    </w:p>
    <w:p/>
    <w:p>
      <w:pPr>
        <w:pStyle w:val="Heading2"/>
      </w:pPr>
      <w:r>
        <w:rPr>
          <w:b/>
          <w:bCs/>
        </w:rPr>
        <w:t xml:space="preserve">제4조(사용승인서 교부)</w:t>
      </w:r>
    </w:p>
    <w:p>
      <w:r>
        <w:t xml:space="preserve">검사 결과 적합한 경우 허가권자는 지체 없이 사용승인서를 교부하여야 하며, 부적합한 경우 보완을 요구할 수 있다.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2026-08-07T09:02:11.072Z</dcterms:created>
  <dcterms:modified xsi:type="dcterms:W3CDTF">2026-08-07T09:02:11.072Z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