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서울시 공공임대주택 운영 지침</w:t>
      </w:r>
    </w:p>
    <w:p>
      <w:pPr>
        <w:jc w:val="center"/>
      </w:pPr>
      <w:r>
        <w:rPr>
          <w:color w:val="666666"/>
          <w:sz w:val="18"/>
          <w:szCs w:val="18"/>
        </w:rPr>
        <w:t xml:space="preserve">문서번호 ADMIN-11000-000101 · 시행일 2026-04-01 · 공개</w:t>
      </w:r>
    </w:p>
    <w:p/>
    <w:p>
      <w:pPr>
        <w:pStyle w:val="Heading2"/>
      </w:pPr>
      <w:r>
        <w:rPr>
          <w:b/>
          <w:bCs/>
        </w:rPr>
        <w:t xml:space="preserve">제1조(목적)</w:t>
      </w:r>
    </w:p>
    <w:p>
      <w:r>
        <w:t xml:space="preserve">이 지침은 서울특별시가 공급하는 공공임대주택의 임대료 산정과 관리 기준을 정하여 입주자의 주거 안정을 도모함을 목적으로 한다.</w:t>
      </w:r>
    </w:p>
    <w:p/>
    <w:p>
      <w:pPr>
        <w:pStyle w:val="Heading2"/>
      </w:pPr>
      <w:r>
        <w:rPr>
          <w:b/>
          <w:bCs/>
        </w:rPr>
        <w:t xml:space="preserve">제2조(임대료 산정 기준)</w:t>
      </w:r>
    </w:p>
    <w:p>
      <w:r>
        <w:t xml:space="preserve">임대료는 주택의 전용면적과 입주 유형을 기준으로 산정하며, 소수점 이하의 금액은 원 단위에서 버림하여 적용한다. 유형별 월 임대료 기준은 다음 표와 같다.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F0EC"/>
          </w:tcPr>
          <w:p>
            <w:r>
              <w:rPr>
                <w:b/>
                <w:bCs/>
              </w:rPr>
              <w:t xml:space="preserve">입주 유형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전용면적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월 임대료 기준</w:t>
            </w:r>
          </w:p>
        </w:tc>
      </w:tr>
      <w:tr>
        <w:tc>
          <w:p>
            <w:r>
              <w:t xml:space="preserve">국민임대</w:t>
            </w:r>
          </w:p>
        </w:tc>
        <w:tc>
          <w:p>
            <w:r>
              <w:t xml:space="preserve">40제곱미터 이하</w:t>
            </w:r>
          </w:p>
        </w:tc>
        <w:tc>
          <w:p>
            <w:r>
              <w:t xml:space="preserve">전세시세의 60퍼센트</w:t>
            </w:r>
          </w:p>
        </w:tc>
      </w:tr>
      <w:tr>
        <w:tc>
          <w:p>
            <w:r>
              <w:t xml:space="preserve">행복주택</w:t>
            </w:r>
          </w:p>
        </w:tc>
        <w:tc>
          <w:p>
            <w:r>
              <w:t xml:space="preserve">45제곱미터 이하</w:t>
            </w:r>
          </w:p>
        </w:tc>
        <w:tc>
          <w:p>
            <w:r>
              <w:t xml:space="preserve">전세시세의 68퍼센트</w:t>
            </w:r>
          </w:p>
        </w:tc>
      </w:tr>
      <w:tr>
        <w:tc>
          <w:p>
            <w:r>
              <w:t xml:space="preserve">장기전세</w:t>
            </w:r>
          </w:p>
        </w:tc>
        <w:tc>
          <w:p>
            <w:r>
              <w:t xml:space="preserve">60제곱미터 이하</w:t>
            </w:r>
          </w:p>
        </w:tc>
        <w:tc>
          <w:p>
            <w:r>
              <w:t xml:space="preserve">전세시세의 80퍼센트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제3조(관리비 부과)</w:t>
      </w:r>
    </w:p>
    <w:p>
      <w:r>
        <w:t xml:space="preserve">관리비는 실제 발생한 공용 비용을 입주 세대에 균등 또는 사용량에 따라 배분하여 부과한다. 관리 주체는 매월 부과 내역을 입주자에게 고지하여야 한다.</w:t>
      </w:r>
    </w:p>
    <w:p/>
    <w:p>
      <w:pPr>
        <w:pStyle w:val="Heading2"/>
      </w:pPr>
      <w:r>
        <w:rPr>
          <w:b/>
          <w:bCs/>
        </w:rPr>
        <w:t xml:space="preserve">제4조(재계약)</w:t>
      </w:r>
    </w:p>
    <w:p>
      <w:r>
        <w:t xml:space="preserve">입주자가 재계약을 신청하는 경우 소득 및 자산 기준을 다시 심사하며, 기준을 초과하는 경우 할증된 임대료를 적용하거나 퇴거를 요구할 수 있다.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2026-08-07T09:02:11.021Z</dcterms:created>
  <dcterms:modified xsi:type="dcterms:W3CDTF">2026-08-07T09:02:11.026Z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