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전기자동차 충전시설 설치 및 운영 조례</w:t>
      </w:r>
    </w:p>
    <w:p>
      <w:pPr>
        <w:jc w:val="center"/>
      </w:pPr>
      <w:r>
        <w:rPr>
          <w:color w:val="666666"/>
          <w:sz w:val="18"/>
          <w:szCs w:val="18"/>
        </w:rPr>
        <w:t xml:space="preserve">문서번호 ORD-11000-000010 · 시행일 2026-05-01 · 공개</w:t>
      </w:r>
    </w:p>
    <w:p/>
    <w:p>
      <w:pPr>
        <w:pStyle w:val="Heading2"/>
      </w:pPr>
      <w:r>
        <w:rPr>
          <w:b/>
          <w:bCs/>
        </w:rPr>
        <w:t xml:space="preserve">제1조(목적)</w:t>
      </w:r>
    </w:p>
    <w:p>
      <w:r>
        <w:t xml:space="preserve">이 조례는 전기자동차 충전시설의 설치 및 운영에 필요한 사항을 정하여 친환경 교통 환경 조성에 이바지함을 목적으로 한다.</w:t>
      </w:r>
    </w:p>
    <w:p/>
    <w:p>
      <w:pPr>
        <w:pStyle w:val="Heading2"/>
      </w:pPr>
      <w:r>
        <w:rPr>
          <w:b/>
          <w:bCs/>
        </w:rPr>
        <w:t xml:space="preserve">제2조(설치 대상)</w:t>
      </w:r>
    </w:p>
    <w:p>
      <w:r>
        <w:t xml:space="preserve">일정 규모 이상의 공동주택과 공중이용시설에는 다음 표의 기준에 따라 충전시설을 설치하여야 한다.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F0EC"/>
          </w:tcPr>
          <w:p>
            <w:r>
              <w:rPr>
                <w:b/>
                <w:bCs/>
              </w:rPr>
              <w:t xml:space="preserve">시설 구분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총 주차면수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최소 충전기 수</w:t>
            </w:r>
          </w:p>
        </w:tc>
      </w:tr>
      <w:tr>
        <w:tc>
          <w:p>
            <w:r>
              <w:t xml:space="preserve">공동주택</w:t>
            </w:r>
          </w:p>
        </w:tc>
        <w:tc>
          <w:p>
            <w:r>
              <w:t xml:space="preserve">100면 이상</w:t>
            </w:r>
          </w:p>
        </w:tc>
        <w:tc>
          <w:p>
            <w:r>
              <w:t xml:space="preserve">총 주차면수의 5퍼센트</w:t>
            </w:r>
          </w:p>
        </w:tc>
      </w:tr>
      <w:tr>
        <w:tc>
          <w:p>
            <w:r>
              <w:t xml:space="preserve">공중이용시설</w:t>
            </w:r>
          </w:p>
        </w:tc>
        <w:tc>
          <w:p>
            <w:r>
              <w:t xml:space="preserve">50면 이상</w:t>
            </w:r>
          </w:p>
        </w:tc>
        <w:tc>
          <w:p>
            <w:r>
              <w:t xml:space="preserve">총 주차면수의 3퍼센트</w:t>
            </w:r>
          </w:p>
        </w:tc>
      </w:tr>
      <w:tr>
        <w:tc>
          <w:p>
            <w:r>
              <w:t xml:space="preserve">공영주차장</w:t>
            </w:r>
          </w:p>
        </w:tc>
        <w:tc>
          <w:p>
            <w:r>
              <w:t xml:space="preserve">30면 이상</w:t>
            </w:r>
          </w:p>
        </w:tc>
        <w:tc>
          <w:p>
            <w:r>
              <w:t xml:space="preserve">총 주차면수의 5퍼센트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제3조(운영)</w:t>
      </w:r>
    </w:p>
    <w:p>
      <w:r>
        <w:t xml:space="preserve">충전시설 운영자는 충전 방해 행위를 금지하고, 고장 발생 시 신속히 조치하여야 한다.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2026-08-07T09:02:11.087Z</dcterms:created>
  <dcterms:modified xsi:type="dcterms:W3CDTF">2026-08-07T09:02:11.087Z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