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6"/>
          <w:szCs w:val="36"/>
        </w:rPr>
        <w:t xml:space="preserve">옥외광고물 표시 허가 세부 지침</w:t>
      </w:r>
    </w:p>
    <w:p>
      <w:pPr>
        <w:jc w:val="center"/>
      </w:pPr>
      <w:r>
        <w:rPr>
          <w:color w:val="666666"/>
          <w:sz w:val="18"/>
          <w:szCs w:val="18"/>
        </w:rPr>
        <w:t xml:space="preserve">문서번호 ADMIN-11000-000103 · 시행일 2026-03-20 · 공개</w:t>
      </w:r>
    </w:p>
    <w:p/>
    <w:p>
      <w:pPr>
        <w:pStyle w:val="Heading2"/>
      </w:pPr>
      <w:r>
        <w:rPr>
          <w:b/>
          <w:bCs/>
        </w:rPr>
        <w:t xml:space="preserve">1. 허가 대상</w:t>
      </w:r>
    </w:p>
    <w:p>
      <w:r>
        <w:t xml:space="preserve">건물의 벽면 또는 옥상에 표시하는 광고물 중 다음 표에 해당하는 것은 허가를 받아야 한다.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F0EC"/>
          </w:tcPr>
          <w:p>
            <w:r>
              <w:rPr>
                <w:b/>
                <w:bCs/>
              </w:rPr>
              <w:t xml:space="preserve">광고물 종류</w:t>
            </w:r>
          </w:p>
        </w:tc>
        <w:tc>
          <w:tcPr>
            <w:shd w:fill="E8F0EC"/>
          </w:tcPr>
          <w:p>
            <w:r>
              <w:rPr>
                <w:b/>
                <w:bCs/>
              </w:rPr>
              <w:t xml:space="preserve">허가 구분</w:t>
            </w:r>
          </w:p>
        </w:tc>
        <w:tc>
          <w:tcPr>
            <w:shd w:fill="E8F0EC"/>
          </w:tcPr>
          <w:p>
            <w:r>
              <w:rPr>
                <w:b/>
                <w:bCs/>
              </w:rPr>
              <w:t xml:space="preserve">표시 기간</w:t>
            </w:r>
          </w:p>
        </w:tc>
      </w:tr>
      <w:tr>
        <w:tc>
          <w:p>
            <w:r>
              <w:t xml:space="preserve">벽면 이용 간판</w:t>
            </w:r>
          </w:p>
        </w:tc>
        <w:tc>
          <w:p>
            <w:r>
              <w:t xml:space="preserve">허가</w:t>
            </w:r>
          </w:p>
        </w:tc>
        <w:tc>
          <w:p>
            <w:r>
              <w:t xml:space="preserve">3년</w:t>
            </w:r>
          </w:p>
        </w:tc>
      </w:tr>
      <w:tr>
        <w:tc>
          <w:p>
            <w:r>
              <w:t xml:space="preserve">옥상 간판</w:t>
            </w:r>
          </w:p>
        </w:tc>
        <w:tc>
          <w:p>
            <w:r>
              <w:t xml:space="preserve">허가</w:t>
            </w:r>
          </w:p>
        </w:tc>
        <w:tc>
          <w:p>
            <w:r>
              <w:t xml:space="preserve">3년</w:t>
            </w:r>
          </w:p>
        </w:tc>
      </w:tr>
      <w:tr>
        <w:tc>
          <w:p>
            <w:r>
              <w:t xml:space="preserve">현수막</w:t>
            </w:r>
          </w:p>
        </w:tc>
        <w:tc>
          <w:p>
            <w:r>
              <w:t xml:space="preserve">신고</w:t>
            </w:r>
          </w:p>
        </w:tc>
        <w:tc>
          <w:p>
            <w:r>
              <w:t xml:space="preserve">15일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 심사 기준</w:t>
      </w:r>
    </w:p>
    <w:p>
      <w:r>
        <w:t xml:space="preserve">광고물의 규격과 색채는 주변 경관과 조화를 이루어야 하며, 보행자의 통행을 방해하지 아니하여야 한다.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2026-08-07T09:02:11.103Z</dcterms:created>
  <dcterms:modified xsi:type="dcterms:W3CDTF">2026-08-07T09:02:11.103Z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