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1. Class attendance and participation policy:</w:t>
      </w:r>
    </w:p>
    <w:p>
      <w:pPr/>
      <w:r>
        <w:rPr/>
        <w:t xml:space="preserve">Refer to Student Handbook</w:t>
      </w:r>
    </w:p>
    <w:p>
      <w:pPr/>
      <w:r>
        <w:rPr/>
        <w:t xml:space="preserve"> </w:t>
      </w:r>
    </w:p>
    <w:p>
      <w:pPr/>
      <w:r>
        <w:rPr/>
        <w:t xml:space="preserve">2. Course Readings/Materials:</w:t>
      </w:r>
    </w:p>
    <w:p>
      <w:pPr/>
      <w:r>
        <w:rPr/>
        <w:t xml:space="preserve">(a) Books, E-books</w:t>
      </w:r>
    </w:p>
    <w:p>
      <w:pPr/>
      <w:r>
        <w:rPr/>
        <w:t xml:space="preserve">Introduction to Programming Using Python, Y. Liang, Pearson (2013)</w:t>
      </w:r>
    </w:p>
    <w:p>
      <w:pPr/>
      <w:r>
        <w:rPr/>
        <w:t xml:space="preserve">Python: The Ultimate Beginner’s Guide, Andrew Johansen (2016)</w:t>
      </w:r>
    </w:p>
    <w:p>
      <w:pPr/>
      <w:r>
        <w:rPr/>
        <w:t xml:space="preserve">(b) Supplies needed (Python Programming Language, Desktop PCs, Internet Connection)</w:t>
      </w:r>
    </w:p>
    <w:p>
      <w:pPr/>
      <w:r>
        <w:rPr/>
        <w:t xml:space="preserve">(c) URLs for Online Resources</w:t>
      </w:r>
    </w:p>
    <w:p>
      <w:pPr/>
      <w:r>
        <w:rPr/>
        <w:t xml:space="preserve">• https://www.python.org</w:t>
      </w:r>
    </w:p>
    <w:p>
      <w:pPr/>
      <w:r>
        <w:rPr/>
        <w:t xml:space="preserve">• www.tutorialspoint.com, https://github.com/python</w:t>
      </w:r>
    </w:p>
    <w:p>
      <w:pPr/>
      <w:r>
        <w:rPr/>
        <w:t xml:space="preserve"> </w:t>
      </w:r>
    </w:p>
    <w:p>
      <w:pPr/>
      <w:r>
        <w:rPr/>
        <w:t xml:space="preserve">3. Assignments, Assessment, and Evaluation</w:t>
      </w:r>
    </w:p>
    <w:p>
      <w:pPr/>
      <w:r>
        <w:rPr/>
        <w:t xml:space="preserve">(a) Policy concerning homework</w:t>
      </w:r>
    </w:p>
    <w:p>
      <w:pPr/>
      <w:r>
        <w:rPr/>
        <w:t xml:space="preserve">• 6 homework/assignment in a Semester</w:t>
      </w:r>
    </w:p>
    <w:p>
      <w:pPr/>
      <w:r>
        <w:rPr/>
        <w:t xml:space="preserve">(b) Policy concerning make-up exams</w:t>
      </w:r>
    </w:p>
    <w:p>
      <w:pPr/>
      <w:r>
        <w:rPr/>
        <w:t xml:space="preserve">• refer to student handbook</w:t>
      </w:r>
    </w:p>
    <w:p>
      <w:pPr/>
      <w:r>
        <w:rPr/>
        <w:t xml:space="preserve">(c) Policy concerning late assignments/requirements</w:t>
      </w:r>
    </w:p>
    <w:p>
      <w:pPr/>
      <w:r>
        <w:rPr/>
        <w:t xml:space="preserve">• late assignments will not be accepted</w:t>
      </w:r>
    </w:p>
    <w:p>
      <w:pPr/>
      <w:r>
        <w:rPr/>
        <w:t xml:space="preserve">(d) Preliminary information on term papers or projects, with due dates</w:t>
      </w:r>
    </w:p>
    <w:p>
      <w:pPr/>
      <w:r>
        <w:rPr/>
        <w:t xml:space="preserve">• late projects will be given equivalent deduction per hour</w:t>
      </w:r>
    </w:p>
    <w:p>
      <w:pPr/>
      <w:r>
        <w:rPr/>
        <w:t xml:space="preserve">(e) List of assignments that will impact the final grade and % weight given each</w:t>
      </w:r>
    </w:p>
    <w:p>
      <w:pPr/>
      <w:r>
        <w:rPr/>
        <w:t xml:space="preserve">• 3 assignments per term</w:t>
      </w:r>
    </w:p>
    <w:p>
      <w:pPr/>
      <w:r>
        <w:rPr/>
        <w:t xml:space="preserve"> </w:t>
      </w:r>
    </w:p>
    <w:p>
      <w:pPr/>
      <w:r>
        <w:rPr/>
        <w:t xml:space="preserve">4. Grading System</w:t>
      </w:r>
    </w:p>
    <w:tbl>
      <w:tblGrid>
        <w:gridCol w:w="3900" w:type="dxa"/>
        <w:gridCol w:w="46100" w:type="dxa"/>
      </w:tblGrid>
      <w:tblPr>
        <w:tblW w:w="413750" w:type="pct"/>
        <w:tblLayout w:type="autofit"/>
        <w:tblBorders>
          <w:top w:val="single" w:sz="15"/>
          <w:left w:val="single" w:sz="15"/>
          <w:right w:val="single" w:sz="15"/>
          <w:bottom w:val="single" w:sz="15"/>
          <w:insideH w:val="single" w:sz="15"/>
          <w:insideV w:val="single" w:sz="15"/>
        </w:tblBorders>
      </w:tblPr>
      <w:tr>
        <w:trPr/>
        <w:tc>
          <w:tcPr>
            <w:tcW w:w="5000" w:type="pct"/>
            <w:gridSpan w:val="2"/>
            <w:noWrap/>
          </w:tcPr>
          <w:p>
            <w:pPr>
              <w:jc w:val="center"/>
            </w:pPr>
            <w:r>
              <w:rPr/>
              <w:t xml:space="preserve">Lecture Grade (67%)</w:t>
            </w:r>
          </w:p>
        </w:tc>
      </w:tr>
      <w:tr>
        <w:trPr/>
        <w:tc>
          <w:tcPr>
            <w:tcW w:w="3900" w:type="pct"/>
            <w:noWrap/>
          </w:tcPr>
          <w:p>
            <w:pPr>
              <w:jc w:val="center"/>
            </w:pPr>
            <w:r>
              <w:rPr/>
              <w:t xml:space="preserve">Performance Item/Criteria</w:t>
            </w:r>
          </w:p>
        </w:tc>
        <w:tc>
          <w:tcPr>
            <w:tcW w:w="46100" w:type="pct"/>
            <w:noWrap/>
          </w:tcPr>
          <w:p>
            <w:pPr>
              <w:jc w:val="center"/>
            </w:pPr>
            <w:r>
              <w:rPr/>
              <w:t xml:space="preserve">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Class Performance Item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10%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Quizzes (All quizzes, prelim and pre-final exams)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40%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Major Exams (i.e, Midterm and Final Exams)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30%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Performance Innovative Task / Project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20%</w:t>
            </w:r>
          </w:p>
        </w:tc>
      </w:tr>
      <w:tr>
        <w:trPr/>
        <w:tc>
          <w:tcPr>
            <w:tcW w:w="3900" w:type="pct"/>
            <w:noWrap/>
          </w:tcPr>
          <w:p>
            <w:pPr>
              <w:jc w:val="end"/>
            </w:pPr>
            <w:r>
              <w:rPr/>
              <w:t xml:space="preserve">TOTAL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100%</w:t>
            </w:r>
          </w:p>
        </w:tc>
      </w:tr>
      <w:tr>
        <w:trPr/>
        <w:tc>
          <w:tcPr>
            <w:tcW w:w="5000" w:type="pct"/>
            <w:gridSpan w:val="2"/>
            <w:noWrap/>
          </w:tcPr>
          <w:p>
            <w:pPr>
              <w:jc w:val="center"/>
            </w:pPr>
            <w:r>
              <w:rPr/>
              <w:t xml:space="preserve">Laboratory Grade (33%)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Performance Item/Criteria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Laboratory Exercises/Reports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30%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Laboratory Major Exam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40%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Hands-on Exercises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30%</w:t>
            </w:r>
          </w:p>
        </w:tc>
      </w:tr>
      <w:tr>
        <w:trPr/>
        <w:tc>
          <w:tcPr>
            <w:tcW w:w="3900" w:type="pct"/>
            <w:noWrap/>
          </w:tcPr>
          <w:p>
            <w:pPr>
              <w:jc w:val="end"/>
            </w:pPr>
            <w:r>
              <w:rPr/>
              <w:t xml:space="preserve">TOTAL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100%</w:t>
            </w:r>
          </w:p>
        </w:tc>
      </w:tr>
      <w:tr>
        <w:trPr/>
        <w:tc>
          <w:tcPr>
            <w:tcW w:w="5000" w:type="pct"/>
            <w:gridSpan w:val="2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Term/Periodic Grade = 67% Lecture Grade + 33% Laboratory Grade</w:t>
            </w:r>
          </w:p>
        </w:tc>
      </w:tr>
    </w:tbl>
    <w:p>
      <w:pPr/>
      <w:r>
        <w:rPr/>
        <w:t xml:space="preserve"> </w:t>
      </w:r>
    </w:p>
    <w:p>
      <w:pPr/>
      <w:r>
        <w:rPr/>
        <w:t xml:space="preserve">Criteria and Weights in computing the FINAL GRADE (FG)</w:t>
      </w:r>
    </w:p>
    <w:p>
      <w:pPr/>
      <w:r>
        <w:rPr/>
        <w:t xml:space="preserve">(a) If the final exam coverage are all topics discussed from the beginning of the semester:</w:t>
      </w:r>
    </w:p>
    <w:p>
      <w:pPr/>
      <w:r>
        <w:rPr/>
        <w:t xml:space="preserve">Final Grade (FG) = 1/3 MTG + 2/3 FTG;</w:t>
      </w:r>
    </w:p>
    <w:p>
      <w:pPr/>
      <w:r>
        <w:rPr/>
        <w:t xml:space="preserve">MTG – Midterm Grade</w:t>
      </w:r>
    </w:p>
    <w:p>
      <w:pPr/>
      <w:r>
        <w:rPr/>
        <w:t xml:space="preserve">FTG – Final term grade</w:t>
      </w:r>
    </w:p>
    <w:p>
      <w:pPr/>
      <w:r>
        <w:rPr/>
        <w:t xml:space="preserve">(b) If the final exam coverage are all topics during the final term only</w:t>
      </w:r>
    </w:p>
    <w:p>
      <w:pPr/>
      <w:r>
        <w:rPr/>
        <w:t xml:space="preserve">Final Grade (FG) = 1/2 MTG + 1/2 FTG</w:t>
      </w:r>
    </w:p>
    <w:p>
      <w:pPr/>
      <w:r>
        <w:rPr/>
        <w:t xml:space="preserve"> </w:t>
      </w:r>
    </w:p>
    <w:p>
      <w:pPr/>
      <w:r>
        <w:rPr/>
        <w:t xml:space="preserve">(Passing Percentage is 70%)</w:t>
      </w:r>
    </w:p>
    <w:p>
      <w:pPr/>
      <w:r>
        <w:rPr/>
        <w:t xml:space="preserve">Ex. In a 10-item quiz, obtaining 7 points would be equivalent to a passing score.</w:t>
      </w:r>
    </w:p>
    <w:p>
      <w:pPr/>
      <w:r>
        <w:rPr/>
        <w:t xml:space="preserve"> </w:t>
      </w:r>
    </w:p>
    <w:p>
      <w:pPr/>
      <w:r>
        <w:rPr/>
        <w:t xml:space="preserve">5. Use of VLE in class to distribute course materials, to communicate and collaborate online, to post grades, to submit assignments, and to give you online quizzes and surveys.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2024-07-24T12:34:15+08:00</dcterms:created>
  <dcterms:modified xsi:type="dcterms:W3CDTF">2024-07-24T12:34:15+08:00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