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CO1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asssss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0"/>
                            <w:szCs w:val="20"/>
                            <w:lang w:val="en-US"/>
                          </w:rPr>
                          <w:t>${syll_co_po_code#1}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b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sssssdss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0"/>
                            <w:szCs w:val="20"/>
                            <w:lang w:val="en-US"/>
                          </w:rPr>
                          <w:t>${syll_co_po_code#2}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c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c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0"/>
                            <w:szCs w:val="20"/>
                            <w:lang w:val="en-US"/>
                          </w:rPr>
                          <w:t>${syll_co_po_code#3}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• Explain the role of well-designed, sable interfaces in marketsuccess, reliability, and 
                            <br/>
accessibility
                            <br/>
• Explain the roles of HCI professionals and 
                            <br/>
practitioners of related disciplinesin the workplace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`10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7062195"/>
    <w:rsid w:val="28067B3A"/>
    <w:rsid w:val="2858488E"/>
    <w:rsid w:val="28724C6B"/>
    <w:rsid w:val="289A2879"/>
    <w:rsid w:val="290F476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74B1C86"/>
    <w:rsid w:val="49B83F7E"/>
    <w:rsid w:val="4A1B1AA4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D53B49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30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2024-03-11T03:07:23Z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