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syll_ins_bldg_rm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sss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
                            sss
                            <br/>
s
                            <br/>
s
                            <br/>
ssss
                            <br/>
ssss
                            <br/>
ss
                            <br/>
sssss
                            <br/>
s
                            <br/>
s
                            <br/>
s
                            <br/>
sssss
                            <br/>
                            <br/>
                            <br/>
                            <br/>
fffff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sss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
                            222
                            <br/>
                            <br/>
                            <br/>
222
                            <br/>
                            <br/>
2
                            <br/>
22
                            <br/>
                            <br/>
                            <br/>
                            <br/>
2222
                            <br/>
222
                            <br/>
2
                            <br/>
2
                            <br/>
222222
                            <br/>
                            <br/>
                            <br/>
222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www
                            <br/>
                            <br/>
www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${course_requirements}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B7010D1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0C5FB1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B0F4D90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2024-03-25T07:14:48Z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