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9574" w:tblpY="-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Code:</w:t>
            </w:r>
          </w:p>
        </w:tc>
        <w:tc>
          <w:tcPr>
            <w:tcW w:w="401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WEST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Title:</w:t>
            </w:r>
          </w:p>
        </w:tc>
        <w:tc>
          <w:tcPr>
            <w:tcW w:w="401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s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right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</w:pPr>
      <w:r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1st Semester  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vertAlign w:val="baseline"/>
          <w:lang w:val="en-PH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50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2024-02-05 08:47:14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a: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b: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"/>
                <w:szCs w:val="2"/>
                <w:vertAlign w:val="baseline"/>
                <w:lang w:val="en-PH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18"/>
                <w:szCs w:val="18"/>
                <w:vertAlign w:val="baseline"/>
                <w:lang w:val="en-PH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82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Knowledge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2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20%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40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33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17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3.00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7.00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33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16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3.00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6.00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6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2.00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4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14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7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1.00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3.00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26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30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50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John-Rey Jamago 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Approved by:</w:t>
            </w:r>
          </w:p>
        </w:tc>
        <w:tc>
          <w:tcPr>
            <w:tcW w:w="3543" w:type="dxa"/>
            <w:vAlign w:val="top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John-Rey Jamago ${chairSuffix}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Name/Signature of Department Chair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pPr w:leftFromText="180" w:rightFromText="180" w:vertAnchor="text" w:horzAnchor="page" w:tblpX="4783" w:tblpY="165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bookmarkStart w:id="0" w:name="_GoBack"/>
      <w:bookmarkEnd w:id="0"/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4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2024-01-30T20:24:24Z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</Properties>
</file>