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80"/>
      </w:pPr>
      <w:r>
        <w:rPr>
          <w:rFonts w:ascii="Arial" w:cs="Arial" w:eastAsia="Arial" w:hAnsi="Arial"/>
          <w:b/>
          <w:bCs/>
          <w:color w:val="1F4E79"/>
          <w:sz w:val="52"/>
          <w:szCs w:val="52"/>
        </w:rPr>
        <w:t xml:space="preserve">EVOLUTION MEDIA</w:t>
      </w:r>
    </w:p>
    <w:p>
      <w:pPr>
        <w:spacing w:after="60" w:before="0"/>
      </w:pPr>
      <w:r>
        <w:rPr>
          <w:rFonts w:ascii="Arial" w:cs="Arial" w:eastAsia="Arial" w:hAnsi="Arial"/>
          <w:color w:val="00B0D0"/>
          <w:sz w:val="38"/>
          <w:szCs w:val="38"/>
        </w:rPr>
        <w:t xml:space="preserve">Strategic Risk Analysis</w:t>
      </w:r>
    </w:p>
    <w:p>
      <w:pPr>
        <w:spacing w:after="320" w:before="0"/>
      </w:pPr>
      <w:r>
        <w:rPr>
          <w:rFonts w:ascii="Arial" w:cs="Arial" w:eastAsia="Arial" w:hAnsi="Arial"/>
          <w:color w:val="666666"/>
          <w:sz w:val="24"/>
          <w:szCs w:val="24"/>
        </w:rPr>
        <w:t xml:space="preserve">Registration · Marketing · Cost Implications</w:t>
      </w:r>
    </w:p>
    <w:p>
      <w:pPr>
        <w:pBdr>
          <w:bottom w:val="single" w:color="00B0D0" w:sz="4" w:space="1"/>
        </w:pBdr>
        <w:spacing w:after="160" w:before="160"/>
      </w:pPr>
    </w:p>
    <w:p>
      <w:pPr>
        <w:spacing w:after="80" w:before="60"/>
      </w:pPr>
      <w:r>
        <w:rPr>
          <w:rFonts w:ascii="Arial" w:cs="Arial" w:eastAsia="Arial" w:hAnsi="Arial"/>
          <w:sz w:val="22"/>
          <w:szCs w:val="22"/>
        </w:rPr>
        <w:t xml:space="preserve">This document identifies the most significant pitfalls across three critical areas of the Evolution Media launch: how client registration and payment flows are controlled, where the marketing strategy is likely to fail, and what the real cost picture looks like. Each section pairs the risk with a concrete mitigation strategy.</w:t>
      </w:r>
    </w:p>
    <w:p>
      <w:pPr>
        <w:spacing w:after="60" w:before="80"/>
      </w:pPr>
      <w:r>
        <w:rPr>
          <w:rFonts w:ascii="Arial" w:cs="Arial" w:eastAsia="Arial" w:hAnsi="Arial"/>
          <w:b/>
          <w:bCs/>
          <w:color w:val="555555"/>
          <w:sz w:val="20"/>
          <w:szCs w:val="20"/>
        </w:rPr>
        <w:t xml:space="preserve">Prepared:  </w:t>
      </w:r>
      <w:r>
        <w:rPr>
          <w:rFonts w:ascii="Arial" w:cs="Arial" w:eastAsia="Arial" w:hAnsi="Arial"/>
          <w:color w:val="555555"/>
          <w:sz w:val="20"/>
          <w:szCs w:val="20"/>
        </w:rPr>
        <w:t xml:space="preserve">April 2026   |   </w:t>
      </w:r>
      <w:r>
        <w:rPr>
          <w:rFonts w:ascii="Arial" w:cs="Arial" w:eastAsia="Arial" w:hAnsi="Arial"/>
          <w:b/>
          <w:bCs/>
          <w:color w:val="555555"/>
          <w:sz w:val="20"/>
          <w:szCs w:val="20"/>
        </w:rPr>
        <w:t xml:space="preserve">Status:  </w:t>
      </w:r>
      <w:r>
        <w:rPr>
          <w:rFonts w:ascii="Arial" w:cs="Arial" w:eastAsia="Arial" w:hAnsi="Arial"/>
          <w:color w:val="555555"/>
          <w:sz w:val="20"/>
          <w:szCs w:val="20"/>
        </w:rPr>
        <w:t xml:space="preserve">Pre-Launch Review</w:t>
      </w:r>
    </w:p>
    <w:p>
      <w:r>
        <w:t xml:space="preserve"/>
      </w:r>
    </w:p>
    <w:p>
      <w:pPr>
        <w:pBdr>
          <w:bottom w:val="single" w:color="00B0D0" w:sz="4" w:space="1"/>
        </w:pBdr>
        <w:spacing w:after="160" w:before="160"/>
      </w:pPr>
    </w:p>
    <w:p>
      <w:pPr>
        <w:pStyle w:val="Heading1"/>
        <w:spacing w:after="120" w:before="360"/>
      </w:pPr>
      <w:r>
        <w:rPr>
          <w:rFonts w:ascii="Arial" w:cs="Arial" w:eastAsia="Arial" w:hAnsi="Arial"/>
          <w:b/>
          <w:bCs/>
          <w:color w:val="1F4E79"/>
          <w:sz w:val="34"/>
          <w:szCs w:val="34"/>
        </w:rPr>
        <w:t xml:space="preserve">1.  Registration &amp; Client Onboarding</w:t>
      </w:r>
    </w:p>
    <w:p>
      <w:pPr>
        <w:spacing w:after="80" w:before="60"/>
      </w:pPr>
      <w:r>
        <w:rPr>
          <w:rFonts w:ascii="Arial" w:cs="Arial" w:eastAsia="Arial" w:hAnsi="Arial"/>
          <w:sz w:val="22"/>
          <w:szCs w:val="22"/>
        </w:rPr>
        <w:t xml:space="preserve">The current flow relies on a €50 Stripe deposit to initiate a project, with no client account, no contract gate, and no linked brief requirement before payment is taken. This creates several control gaps that need addressing before scaling.</w:t>
      </w:r>
    </w:p>
    <w:p>
      <w:r>
        <w:t xml:space="preserve"/>
      </w:r>
    </w:p>
    <w:p>
      <w:pPr>
        <w:pStyle w:val="Heading2"/>
        <w:spacing w:after="100" w:before="280"/>
      </w:pPr>
      <w:r>
        <w:rPr>
          <w:rFonts w:ascii="Arial" w:cs="Arial" w:eastAsia="Arial" w:hAnsi="Arial"/>
          <w:b/>
          <w:bCs/>
          <w:color w:val="1F4E79"/>
          <w:sz w:val="28"/>
          <w:szCs w:val="28"/>
        </w:rPr>
        <w:t xml:space="preserve">1.1  Critical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760"/>
      </w:tblGrid>
      <w:tr>
        <w:tc>
          <w:tcPr>
            <w:tcW w:type="dxa" w:w="2600"/>
            <w:tcBorders>
              <w:top w:val="single" w:color="CCCCCC" w:sz="1"/>
              <w:left w:val="single" w:color="CCCCCC" w:sz="1"/>
              <w:bottom w:val="single" w:color="CCCCCC" w:sz="1"/>
              <w:right w:val="single" w:color="CCCCCC" w:sz="1"/>
            </w:tcBorders>
            <w:shd w:fill="2E3A4B" w:val="clear"/>
            <w:tcMar>
              <w:top w:type="dxa" w:w="80"/>
              <w:left w:type="dxa" w:w="120"/>
              <w:bottom w:type="dxa" w:w="80"/>
              <w:right w:type="dxa" w:w="120"/>
            </w:tcMar>
          </w:tcPr>
          <w:p>
            <w:r>
              <w:rPr>
                <w:rFonts w:ascii="Arial" w:cs="Arial" w:eastAsia="Arial" w:hAnsi="Arial"/>
                <w:b/>
                <w:bCs/>
                <w:color w:val="FFFFFF"/>
                <w:sz w:val="21"/>
                <w:szCs w:val="21"/>
              </w:rPr>
              <w:t xml:space="preserve">Risk</w:t>
            </w:r>
          </w:p>
        </w:tc>
        <w:tc>
          <w:tcPr>
            <w:tcW w:type="dxa" w:w="1000"/>
            <w:tcBorders>
              <w:top w:val="single" w:color="CCCCCC" w:sz="1"/>
              <w:left w:val="single" w:color="CCCCCC" w:sz="1"/>
              <w:bottom w:val="single" w:color="CCCCCC" w:sz="1"/>
              <w:right w:val="single" w:color="CCCCCC" w:sz="1"/>
            </w:tcBorders>
            <w:shd w:fill="2E3A4B" w:val="clear"/>
            <w:tcMar>
              <w:top w:type="dxa" w:w="80"/>
              <w:left w:type="dxa" w:w="120"/>
              <w:bottom w:type="dxa" w:w="80"/>
              <w:right w:type="dxa" w:w="120"/>
            </w:tcMar>
          </w:tcPr>
          <w:p>
            <w:r>
              <w:rPr>
                <w:rFonts w:ascii="Arial" w:cs="Arial" w:eastAsia="Arial" w:hAnsi="Arial"/>
                <w:b/>
                <w:bCs/>
                <w:color w:val="FFFFFF"/>
                <w:sz w:val="21"/>
                <w:szCs w:val="21"/>
              </w:rPr>
              <w:t xml:space="preserve">Impact</w:t>
            </w:r>
          </w:p>
        </w:tc>
        <w:tc>
          <w:tcPr>
            <w:tcW w:type="dxa" w:w="5760"/>
            <w:tcBorders>
              <w:top w:val="single" w:color="CCCCCC" w:sz="1"/>
              <w:left w:val="single" w:color="CCCCCC" w:sz="1"/>
              <w:bottom w:val="single" w:color="CCCCCC" w:sz="1"/>
              <w:right w:val="single" w:color="CCCCCC" w:sz="1"/>
            </w:tcBorders>
            <w:shd w:fill="2E3A4B"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No contract before payment</w:t>
            </w:r>
          </w:p>
        </w:tc>
        <w:tc>
          <w:tcPr>
            <w:tcW w:type="dxa" w:w="10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The €50 deposit can be paid without any signed agreement, scope definition, or terms of service. If a client disputes work later, there is no contractual basis to defend the charge. Stripe will typically side with the cardholder in a dispute without documentary evidence.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Brief and deposit are decoupled</w:t>
            </w:r>
          </w:p>
        </w:tc>
        <w:tc>
          <w:tcPr>
            <w:tcW w:type="dxa" w:w="10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 client can pay the deposit without completing the brief form, or complete the brief without paying. This means work could theoretically begin with no brief, or a brief exists with no committed client. Both waste time.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No client portal or project tracking</w:t>
            </w:r>
          </w:p>
        </w:tc>
        <w:tc>
          <w:tcPr>
            <w:tcW w:type="dxa" w:w="1000"/>
            <w:tcBorders>
              <w:top w:val="single" w:color="CCCCCC" w:sz="1"/>
              <w:left w:val="single" w:color="CCCCCC" w:sz="1"/>
              <w:bottom w:val="single" w:color="CCCCCC" w:sz="1"/>
              <w:right w:val="single" w:color="CCCCCC" w:sz="1"/>
            </w:tcBorders>
            <w:shd w:fill="FF8C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Once a deposit is paid, the client has no way to check project status, view drafts, or confirm milestones. All communication relies on email, which is untracked and creates ambiguity around revision requests and sign-off.</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Chargeback exposure on completion payment</w:t>
            </w:r>
          </w:p>
        </w:tc>
        <w:tc>
          <w:tcPr>
            <w:tcW w:type="dxa" w:w="10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The €449 completion payment relies on the client voluntarily paying once the site is built. There is no automated payment link tied to a delivery milestone, and no escrow mechanism. A client could take the work and not pay, or trigger a chargeback after paying.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VAT not addressed</w:t>
            </w:r>
          </w:p>
        </w:tc>
        <w:tc>
          <w:tcPr>
            <w:tcW w:type="dxa" w:w="1000"/>
            <w:tcBorders>
              <w:top w:val="single" w:color="CCCCCC" w:sz="1"/>
              <w:left w:val="single" w:color="CCCCCC" w:sz="1"/>
              <w:bottom w:val="single" w:color="CCCCCC" w:sz="1"/>
              <w:right w:val="single" w:color="CCCCCC" w:sz="1"/>
            </w:tcBorders>
            <w:shd w:fill="FF8C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Evolution Media is based in Ireland. If operating as a registered business, Irish VAT (23%) applies to B2C sales within the EU. The €499 price is not stated as VAT-inclusive or exclusive anywhere on the site, creating legal and pricing ambiguity for Irish and EU clients.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GDPR: form data in Supabase with no retention policy</w:t>
            </w:r>
          </w:p>
        </w:tc>
        <w:tc>
          <w:tcPr>
            <w:tcW w:type="dxa" w:w="1000"/>
            <w:tcBorders>
              <w:top w:val="single" w:color="CCCCCC" w:sz="1"/>
              <w:left w:val="single" w:color="CCCCCC" w:sz="1"/>
              <w:bottom w:val="single" w:color="CCCCCC" w:sz="1"/>
              <w:right w:val="single" w:color="CCCCCC" w:sz="1"/>
            </w:tcBorders>
            <w:shd w:fill="FF8C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Contact forms, brief data, and newsletter subscriptions are stored in Supabase. The Privacy Policy does not yet confirm a data retention policy, and the cookie consent banner may not list all third-party cookies. Both are required under GDPR and can result in regulatory complaints.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No identity verification on deposit</w:t>
            </w:r>
          </w:p>
        </w:tc>
        <w:tc>
          <w:tcPr>
            <w:tcW w:type="dxa" w:w="1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LOW</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The deposit can be paid by anyone with a card, with no email verification or confirmation step. Low-value fraud or duplicate/accidental payments are possible and would require manual handling.</w:t>
            </w:r>
          </w:p>
        </w:tc>
      </w:tr>
    </w:tbl>
    <w:p>
      <w:r>
        <w:t xml:space="preserve"/>
      </w:r>
    </w:p>
    <w:p>
      <w:pPr>
        <w:pStyle w:val="Heading2"/>
        <w:spacing w:after="100" w:before="280"/>
      </w:pPr>
      <w:r>
        <w:rPr>
          <w:rFonts w:ascii="Arial" w:cs="Arial" w:eastAsia="Arial" w:hAnsi="Arial"/>
          <w:b/>
          <w:bCs/>
          <w:color w:val="1F4E79"/>
          <w:sz w:val="28"/>
          <w:szCs w:val="28"/>
        </w:rPr>
        <w:t xml:space="preserve">1.2  Mitigation Strategy</w:t>
      </w:r>
    </w:p>
    <w:p>
      <w:pPr>
        <w:spacing w:after="80" w:before="200"/>
      </w:pPr>
      <w:r>
        <w:rPr>
          <w:rFonts w:ascii="Arial" w:cs="Arial" w:eastAsia="Arial" w:hAnsi="Arial"/>
          <w:b/>
          <w:bCs/>
          <w:color w:val="333333"/>
          <w:sz w:val="24"/>
          <w:szCs w:val="24"/>
        </w:rPr>
        <w:t xml:space="preserve">Gate the deposit behind the brief</w:t>
      </w:r>
    </w:p>
    <w:p>
      <w:pPr>
        <w:spacing w:after="80" w:before="60"/>
      </w:pPr>
      <w:r>
        <w:rPr>
          <w:rFonts w:ascii="Arial" w:cs="Arial" w:eastAsia="Arial" w:hAnsi="Arial"/>
          <w:sz w:val="22"/>
          <w:szCs w:val="22"/>
        </w:rPr>
        <w:t xml:space="preserve">Restructure the flow so the brief form must be completed before the Stripe deposit page is accessible. Add a summary page after the brief that shows the client what they've submitted, then presents the payment button. This ensures every paying client has an attached brief on record.</w:t>
      </w:r>
    </w:p>
    <w:p>
      <w:pPr>
        <w:spacing w:after="80" w:before="200"/>
      </w:pPr>
      <w:r>
        <w:rPr>
          <w:rFonts w:ascii="Arial" w:cs="Arial" w:eastAsia="Arial" w:hAnsi="Arial"/>
          <w:b/>
          <w:bCs/>
          <w:color w:val="333333"/>
          <w:sz w:val="24"/>
          <w:szCs w:val="24"/>
        </w:rPr>
        <w:t xml:space="preserve">Add a lightweight contract to the checkout flow</w:t>
      </w:r>
    </w:p>
    <w:p>
      <w:pPr>
        <w:spacing w:after="80" w:before="60"/>
      </w:pPr>
      <w:r>
        <w:rPr>
          <w:rFonts w:ascii="Arial" w:cs="Arial" w:eastAsia="Arial" w:hAnsi="Arial"/>
          <w:sz w:val="22"/>
          <w:szCs w:val="22"/>
        </w:rPr>
        <w:t xml:space="preserve">Before the Stripe payment redirect, require the client to tick a checkbox confirming they accept the project Terms of Service. The ToS should cover: scope definition, revision rounds, payment terms, ownership transfer on full payment, and dispute resolution. This does not need a lawyer — a clear, plain-English document is sufficient and dramatically strengthens your position in a dispute.</w:t>
      </w:r>
    </w:p>
    <w:p>
      <w:pPr>
        <w:spacing w:after="80" w:before="200"/>
      </w:pPr>
      <w:r>
        <w:rPr>
          <w:rFonts w:ascii="Arial" w:cs="Arial" w:eastAsia="Arial" w:hAnsi="Arial"/>
          <w:b/>
          <w:bCs/>
          <w:color w:val="333333"/>
          <w:sz w:val="24"/>
          <w:szCs w:val="24"/>
        </w:rPr>
        <w:t xml:space="preserve">Automate the completion payment</w:t>
      </w:r>
    </w:p>
    <w:p>
      <w:pPr>
        <w:spacing w:after="80" w:before="60"/>
      </w:pPr>
      <w:r>
        <w:rPr>
          <w:rFonts w:ascii="Arial" w:cs="Arial" w:eastAsia="Arial" w:hAnsi="Arial"/>
          <w:sz w:val="22"/>
          <w:szCs w:val="22"/>
        </w:rPr>
        <w:t xml:space="preserve">When a project is ready for delivery, send a Stripe Payment Link for the €449 balance with a 5-day payment window before the site goes live. This gives a clear incentive to pay and removes the awkwardness of chasing. Optionally hold the live domain DNS in your control until payment clears — a common and legitimate practice.</w:t>
      </w:r>
    </w:p>
    <w:p>
      <w:pPr>
        <w:spacing w:after="80" w:before="200"/>
      </w:pPr>
      <w:r>
        <w:rPr>
          <w:rFonts w:ascii="Arial" w:cs="Arial" w:eastAsia="Arial" w:hAnsi="Arial"/>
          <w:b/>
          <w:bCs/>
          <w:color w:val="333333"/>
          <w:sz w:val="24"/>
          <w:szCs w:val="24"/>
        </w:rPr>
        <w:t xml:space="preserve">Clarify VAT position before launch</w:t>
      </w:r>
    </w:p>
    <w:p>
      <w:pPr>
        <w:spacing w:after="80" w:before="60"/>
      </w:pPr>
      <w:r>
        <w:rPr>
          <w:rFonts w:ascii="Arial" w:cs="Arial" w:eastAsia="Arial" w:hAnsi="Arial"/>
          <w:sz w:val="22"/>
          <w:szCs w:val="22"/>
        </w:rPr>
        <w:t xml:space="preserve">Decide early whether €499 is VAT-inclusive or exclusive, and whether you are or will become VAT-registered. If you are not yet registered and turnover is below the Irish threshold (€37,500 for services), you can trade without charging VAT — but state this clearly. If you serve EU business clients, note that B2B reverse charge rules may apply.</w:t>
      </w:r>
    </w:p>
    <w:p>
      <w:pPr>
        <w:spacing w:after="80" w:before="200"/>
      </w:pPr>
      <w:r>
        <w:rPr>
          <w:rFonts w:ascii="Arial" w:cs="Arial" w:eastAsia="Arial" w:hAnsi="Arial"/>
          <w:b/>
          <w:bCs/>
          <w:color w:val="333333"/>
          <w:sz w:val="24"/>
          <w:szCs w:val="24"/>
        </w:rPr>
        <w:t xml:space="preserve">Add a minimal data retention policy</w:t>
      </w:r>
    </w:p>
    <w:p>
      <w:pPr>
        <w:spacing w:after="80" w:before="60"/>
      </w:pPr>
      <w:r>
        <w:rPr>
          <w:rFonts w:ascii="Arial" w:cs="Arial" w:eastAsia="Arial" w:hAnsi="Arial"/>
          <w:sz w:val="22"/>
          <w:szCs w:val="22"/>
        </w:rPr>
        <w:t xml:space="preserve">Add a single paragraph to the Privacy Policy specifying how long brief submissions, contact enquiries, and newsletter addresses are retained (e.g., 24 months after last contact), and how clients can request deletion. This is a 30-minute task that removes the GDPR gap.</w:t>
      </w:r>
    </w:p>
    <w:p>
      <w:pPr>
        <w:pBdr>
          <w:bottom w:val="single" w:color="00B0D0" w:sz="4" w:space="1"/>
        </w:pBdr>
        <w:spacing w:after="160" w:before="160"/>
      </w:pPr>
    </w:p>
    <w:p>
      <w:pPr>
        <w:pStyle w:val="Heading1"/>
        <w:spacing w:after="120" w:before="360"/>
      </w:pPr>
      <w:r>
        <w:rPr>
          <w:rFonts w:ascii="Arial" w:cs="Arial" w:eastAsia="Arial" w:hAnsi="Arial"/>
          <w:b/>
          <w:bCs/>
          <w:color w:val="1F4E79"/>
          <w:sz w:val="34"/>
          <w:szCs w:val="34"/>
        </w:rPr>
        <w:t xml:space="preserve">2.  Marketing — Where the Strategy Will Fail</w:t>
      </w:r>
    </w:p>
    <w:p>
      <w:pPr>
        <w:spacing w:after="80" w:before="60"/>
      </w:pPr>
      <w:r>
        <w:rPr>
          <w:rFonts w:ascii="Arial" w:cs="Arial" w:eastAsia="Arial" w:hAnsi="Arial"/>
          <w:sz w:val="22"/>
          <w:szCs w:val="22"/>
        </w:rPr>
        <w:t xml:space="preserve">The marketing foundation has the right instincts — fast delivery, AI-assisted workflow, competitive price — but several structural problems will prevent those messages from landing. The biggest risks are around trust signals, positioning, and the complete absence of any content or distribution engine.</w:t>
      </w:r>
    </w:p>
    <w:p>
      <w:r>
        <w:t xml:space="preserve"/>
      </w:r>
    </w:p>
    <w:p>
      <w:pPr>
        <w:pStyle w:val="Heading2"/>
        <w:spacing w:after="100" w:before="280"/>
      </w:pPr>
      <w:r>
        <w:rPr>
          <w:rFonts w:ascii="Arial" w:cs="Arial" w:eastAsia="Arial" w:hAnsi="Arial"/>
          <w:b/>
          <w:bCs/>
          <w:color w:val="1F4E79"/>
          <w:sz w:val="28"/>
          <w:szCs w:val="28"/>
        </w:rPr>
        <w:t xml:space="preserve">2.1  Critical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760"/>
      </w:tblGrid>
      <w:tr>
        <w:tc>
          <w:tcPr>
            <w:tcW w:type="dxa" w:w="2600"/>
            <w:tcBorders>
              <w:top w:val="single" w:color="CCCCCC" w:sz="1"/>
              <w:left w:val="single" w:color="CCCCCC" w:sz="1"/>
              <w:bottom w:val="single" w:color="CCCCCC" w:sz="1"/>
              <w:right w:val="single" w:color="CCCCCC" w:sz="1"/>
            </w:tcBorders>
            <w:shd w:fill="2E3A4B" w:val="clear"/>
            <w:tcMar>
              <w:top w:type="dxa" w:w="80"/>
              <w:left w:type="dxa" w:w="120"/>
              <w:bottom w:type="dxa" w:w="80"/>
              <w:right w:type="dxa" w:w="120"/>
            </w:tcMar>
          </w:tcPr>
          <w:p>
            <w:r>
              <w:rPr>
                <w:rFonts w:ascii="Arial" w:cs="Arial" w:eastAsia="Arial" w:hAnsi="Arial"/>
                <w:b/>
                <w:bCs/>
                <w:color w:val="FFFFFF"/>
                <w:sz w:val="21"/>
                <w:szCs w:val="21"/>
              </w:rPr>
              <w:t xml:space="preserve">Risk</w:t>
            </w:r>
          </w:p>
        </w:tc>
        <w:tc>
          <w:tcPr>
            <w:tcW w:type="dxa" w:w="1000"/>
            <w:tcBorders>
              <w:top w:val="single" w:color="CCCCCC" w:sz="1"/>
              <w:left w:val="single" w:color="CCCCCC" w:sz="1"/>
              <w:bottom w:val="single" w:color="CCCCCC" w:sz="1"/>
              <w:right w:val="single" w:color="CCCCCC" w:sz="1"/>
            </w:tcBorders>
            <w:shd w:fill="2E3A4B" w:val="clear"/>
            <w:tcMar>
              <w:top w:type="dxa" w:w="80"/>
              <w:left w:type="dxa" w:w="120"/>
              <w:bottom w:type="dxa" w:w="80"/>
              <w:right w:type="dxa" w:w="120"/>
            </w:tcMar>
          </w:tcPr>
          <w:p>
            <w:r>
              <w:rPr>
                <w:rFonts w:ascii="Arial" w:cs="Arial" w:eastAsia="Arial" w:hAnsi="Arial"/>
                <w:b/>
                <w:bCs/>
                <w:color w:val="FFFFFF"/>
                <w:sz w:val="21"/>
                <w:szCs w:val="21"/>
              </w:rPr>
              <w:t xml:space="preserve">Impact</w:t>
            </w:r>
          </w:p>
        </w:tc>
        <w:tc>
          <w:tcPr>
            <w:tcW w:type="dxa" w:w="5760"/>
            <w:tcBorders>
              <w:top w:val="single" w:color="CCCCCC" w:sz="1"/>
              <w:left w:val="single" w:color="CCCCCC" w:sz="1"/>
              <w:bottom w:val="single" w:color="CCCCCC" w:sz="1"/>
              <w:right w:val="single" w:color="CCCCCC" w:sz="1"/>
            </w:tcBorders>
            <w:shd w:fill="2E3A4B"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All testimonials are fake placeholders</w:t>
            </w:r>
          </w:p>
        </w:tc>
        <w:tc>
          <w:tcPr>
            <w:tcW w:type="dxa" w:w="10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CRITICAL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Every testimonial currently on the site is a placeholder: generic names ('Client'), generic roles ('Small business owner'), and no verifiable details. Savvy prospects will immediately recognise this. A site selling credibility and quality cannot have fabricated social proof — it undermines every other trust signal on the page.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Portfolio shows sample sites, not real work</w:t>
            </w:r>
          </w:p>
        </w:tc>
        <w:tc>
          <w:tcPr>
            <w:tcW w:type="dxa" w:w="10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The portfolio section labels items as 'sample sites' rather than client work. For a new agency, this is understandable, but it must be clearly framed as demonstration work. Without at least one or two real client case studies, the sales pitch that you deliver results has no evidence base.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Blog is empty — no content marketing engine</w:t>
            </w:r>
          </w:p>
        </w:tc>
        <w:tc>
          <w:tcPr>
            <w:tcW w:type="dxa" w:w="10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The blog page shows 'No posts yet.' Content marketing — even 4–6 well-targeted articles — is one of the highest-ROI activities for a service business. Without it, the site is entirely dependent on paid or social traffic, has no organic search presence, and gives no reason for visitors to return.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'AI-powered' is a liability without specifics</w:t>
            </w:r>
          </w:p>
        </w:tc>
        <w:tc>
          <w:tcPr>
            <w:tcW w:type="dxa" w:w="1000"/>
            <w:tcBorders>
              <w:top w:val="single" w:color="CCCCCC" w:sz="1"/>
              <w:left w:val="single" w:color="CCCCCC" w:sz="1"/>
              <w:bottom w:val="single" w:color="CCCCCC" w:sz="1"/>
              <w:right w:val="single" w:color="CCCCCC" w:sz="1"/>
            </w:tcBorders>
            <w:shd w:fill="FF8C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The headline 'AI-powered web design' is repeated prominently but never explained. For a significant portion of potential clients (particularly local businesses), 'AI-generated' raises concerns about quality, originality, and effort. Without a clear explanation of what AI does in your workflow and what remains human, this phrase may repel more clients than it attracts.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No geographic or audience focus</w:t>
            </w:r>
          </w:p>
        </w:tc>
        <w:tc>
          <w:tcPr>
            <w:tcW w:type="dxa" w:w="1000"/>
            <w:tcBorders>
              <w:top w:val="single" w:color="CCCCCC" w:sz="1"/>
              <w:left w:val="single" w:color="CCCCCC" w:sz="1"/>
              <w:bottom w:val="single" w:color="CCCCCC" w:sz="1"/>
              <w:right w:val="single" w:color="CCCCCC" w:sz="1"/>
            </w:tcBorders>
            <w:shd w:fill="FF8C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The tagline says 'worldwide but built in Ireland.' Targeting everyone is effectively targeting no one. The strongest early growth for a solo or small agency almost always comes from owning a specific niche — by geography, industry, or business type — before expanding. There is no indication of who the ideal client is.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No distribution or acquisition strategy</w:t>
            </w:r>
          </w:p>
        </w:tc>
        <w:tc>
          <w:tcPr>
            <w:tcW w:type="dxa" w:w="10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The site is live but there is no documented plan for how prospective clients will find it. Without at least one active acquisition channel — local SEO, LinkedIn outreach, referrals, directory listings, or paid ads — traffic will be near zero regardless of how good the site looks.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Newsletter with no content plan</w:t>
            </w:r>
          </w:p>
        </w:tc>
        <w:tc>
          <w:tcPr>
            <w:tcW w:type="dxa" w:w="1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LOW</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The newsletter subscription form is present but the subscription base is empty and no content cadence is planned. A newsletter that never sends, or sends inconsistently, erodes trust rather than building it.</w:t>
            </w:r>
          </w:p>
        </w:tc>
      </w:tr>
    </w:tbl>
    <w:p>
      <w:r>
        <w:t xml:space="preserve"/>
      </w:r>
    </w:p>
    <w:p>
      <w:pPr>
        <w:pStyle w:val="Heading2"/>
        <w:spacing w:after="100" w:before="280"/>
      </w:pPr>
      <w:r>
        <w:rPr>
          <w:rFonts w:ascii="Arial" w:cs="Arial" w:eastAsia="Arial" w:hAnsi="Arial"/>
          <w:b/>
          <w:bCs/>
          <w:color w:val="1F4E79"/>
          <w:sz w:val="28"/>
          <w:szCs w:val="28"/>
        </w:rPr>
        <w:t xml:space="preserve">2.2  Mitigation Strategy</w:t>
      </w:r>
    </w:p>
    <w:p>
      <w:pPr>
        <w:spacing w:after="80" w:before="200"/>
      </w:pPr>
      <w:r>
        <w:rPr>
          <w:rFonts w:ascii="Arial" w:cs="Arial" w:eastAsia="Arial" w:hAnsi="Arial"/>
          <w:b/>
          <w:bCs/>
          <w:color w:val="333333"/>
          <w:sz w:val="24"/>
          <w:szCs w:val="24"/>
        </w:rPr>
        <w:t xml:space="preserve">Replace placeholders with real proof — immediately</w:t>
      </w:r>
    </w:p>
    <w:p>
      <w:pPr>
        <w:spacing w:after="80" w:before="60"/>
      </w:pPr>
      <w:r>
        <w:rPr>
          <w:rFonts w:ascii="Arial" w:cs="Arial" w:eastAsia="Arial" w:hAnsi="Arial"/>
          <w:sz w:val="22"/>
          <w:szCs w:val="22"/>
        </w:rPr>
        <w:t xml:space="preserve">Before any marketing spend, replace all placeholder testimonials with real quotes. If you have no clients yet, offer your first 2–3 projects at a discount or free in exchange for a detailed testimonial with name, business, and a link to the live site. One real testimonial outperforms ten fictional ones.</w:t>
      </w:r>
    </w:p>
    <w:p>
      <w:pPr>
        <w:spacing w:after="80" w:before="200"/>
      </w:pPr>
      <w:r>
        <w:rPr>
          <w:rFonts w:ascii="Arial" w:cs="Arial" w:eastAsia="Arial" w:hAnsi="Arial"/>
          <w:b/>
          <w:bCs/>
          <w:color w:val="333333"/>
          <w:sz w:val="24"/>
          <w:szCs w:val="24"/>
        </w:rPr>
        <w:t xml:space="preserve">Reframe the AI angle as a client benefit</w:t>
      </w:r>
    </w:p>
    <w:p>
      <w:pPr>
        <w:spacing w:after="80" w:before="60"/>
      </w:pPr>
      <w:r>
        <w:rPr>
          <w:rFonts w:ascii="Arial" w:cs="Arial" w:eastAsia="Arial" w:hAnsi="Arial"/>
          <w:sz w:val="22"/>
          <w:szCs w:val="22"/>
        </w:rPr>
        <w:t xml:space="preserve">Replace 'AI-powered' with specific, tangible outcomes: 'Sites designed and built in 3–5 days using modern AI workflows' is more compelling and less threatening than a vague AI label. Consider adding a short 'How we build so fast' explainer — even two sentences on the process demystifies the approach and turns a concern into a selling point.</w:t>
      </w:r>
    </w:p>
    <w:p>
      <w:pPr>
        <w:spacing w:after="80" w:before="200"/>
      </w:pPr>
      <w:r>
        <w:rPr>
          <w:rFonts w:ascii="Arial" w:cs="Arial" w:eastAsia="Arial" w:hAnsi="Arial"/>
          <w:b/>
          <w:bCs/>
          <w:color w:val="333333"/>
          <w:sz w:val="24"/>
          <w:szCs w:val="24"/>
        </w:rPr>
        <w:t xml:space="preserve">Pick one niche and own it first</w:t>
      </w:r>
    </w:p>
    <w:p>
      <w:pPr>
        <w:spacing w:after="80" w:before="60"/>
      </w:pPr>
      <w:r>
        <w:rPr>
          <w:rFonts w:ascii="Arial" w:cs="Arial" w:eastAsia="Arial" w:hAnsi="Arial"/>
          <w:sz w:val="22"/>
          <w:szCs w:val="22"/>
        </w:rPr>
        <w:t xml:space="preserve">Choose a specific audience as your beachhead market. Strong candidates based on the existing pricing and positioning: Irish sole traders and small businesses, hospitality businesses (restaurants, B&amp;Bs), or tradespeople who need a credible web presence. Create one piece of targeted copy and one targeted case study for this segment before expanding.</w:t>
      </w:r>
    </w:p>
    <w:p>
      <w:pPr>
        <w:spacing w:after="80" w:before="200"/>
      </w:pPr>
      <w:r>
        <w:rPr>
          <w:rFonts w:ascii="Arial" w:cs="Arial" w:eastAsia="Arial" w:hAnsi="Arial"/>
          <w:b/>
          <w:bCs/>
          <w:color w:val="333333"/>
          <w:sz w:val="24"/>
          <w:szCs w:val="24"/>
        </w:rPr>
        <w:t xml:space="preserve">Publish the first three blog posts before launch</w:t>
      </w:r>
    </w:p>
    <w:p>
      <w:pPr>
        <w:spacing w:after="80" w:before="60"/>
      </w:pPr>
      <w:r>
        <w:rPr>
          <w:rFonts w:ascii="Arial" w:cs="Arial" w:eastAsia="Arial" w:hAnsi="Arial"/>
          <w:sz w:val="22"/>
          <w:szCs w:val="22"/>
        </w:rPr>
        <w:t xml:space="preserve">Target low-competition, high-intent search terms relevant to your niche. Good starting topics: 'How much does a website cost for a small business in Ireland', 'How long does it take to build a website', and 'Why your business needs a website in 2025'. These directly intercept buying intent and can rank within weeks on long-tail queries.</w:t>
      </w:r>
    </w:p>
    <w:p>
      <w:pPr>
        <w:spacing w:after="80" w:before="200"/>
      </w:pPr>
      <w:r>
        <w:rPr>
          <w:rFonts w:ascii="Arial" w:cs="Arial" w:eastAsia="Arial" w:hAnsi="Arial"/>
          <w:b/>
          <w:bCs/>
          <w:color w:val="333333"/>
          <w:sz w:val="24"/>
          <w:szCs w:val="24"/>
        </w:rPr>
        <w:t xml:space="preserve">Define and activate one acquisition channel</w:t>
      </w:r>
    </w:p>
    <w:p>
      <w:pPr>
        <w:spacing w:after="80" w:before="60"/>
      </w:pPr>
      <w:r>
        <w:rPr>
          <w:rFonts w:ascii="Arial" w:cs="Arial" w:eastAsia="Arial" w:hAnsi="Arial"/>
          <w:sz w:val="22"/>
          <w:szCs w:val="22"/>
        </w:rPr>
        <w:t xml:space="preserve">Choose one channel and execute it consistently for 90 days before evaluating others. Recommended options in priority order: (1) Google Business Profile — free, local, high-intent; (2) LinkedIn outreach to local business owners; (3) Listing on Irish business directories (Golden Pages, Yelp IE, local chambers); (4) Referral incentive for existing clients. Spreading across all channels at once produces poor results in all of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6"/>
              <w:left w:val="single" w:color="2E7D32" w:sz="6"/>
              <w:bottom w:val="single" w:color="CCCCCC" w:sz="1"/>
              <w:right w:val="single" w:color="CCCCCC" w:sz="1"/>
            </w:tcBorders>
            <w:shd w:fill="EBF5EB" w:val="clear"/>
            <w:tcMar>
              <w:top w:type="dxa" w:w="100"/>
              <w:left w:type="dxa" w:w="160"/>
              <w:bottom w:type="dxa" w:w="100"/>
              <w:right w:type="dxa" w:w="160"/>
            </w:tcMar>
          </w:tcPr>
          <w:p>
            <w:r>
              <w:rPr>
                <w:rFonts w:ascii="Arial" w:cs="Arial" w:eastAsia="Arial" w:hAnsi="Arial"/>
                <w:b/>
                <w:bCs/>
                <w:color w:val="2E7D32"/>
                <w:sz w:val="22"/>
                <w:szCs w:val="22"/>
              </w:rPr>
              <w:t xml:space="preserve">Quick Win: Trust Signal Checklist</w:t>
            </w:r>
          </w:p>
          <w:p>
            <w:pPr>
              <w:spacing w:after="40" w:before="40"/>
            </w:pPr>
            <w:r>
              <w:rPr>
                <w:rFonts w:ascii="Arial" w:cs="Arial" w:eastAsia="Arial" w:hAnsi="Arial"/>
                <w:sz w:val="21"/>
                <w:szCs w:val="21"/>
              </w:rPr>
              <w:t xml:space="preserve">1.  Replace all 3 placeholder testimonials with real ones (or explicitly labelled mock examples).</w:t>
            </w:r>
          </w:p>
          <w:p>
            <w:pPr>
              <w:spacing w:after="40" w:before="40"/>
            </w:pPr>
            <w:r>
              <w:rPr>
                <w:rFonts w:ascii="Arial" w:cs="Arial" w:eastAsia="Arial" w:hAnsi="Arial"/>
                <w:sz w:val="21"/>
                <w:szCs w:val="21"/>
              </w:rPr>
              <w:t xml:space="preserve">2.  Add at least one case study page: Problem → Solution → Outcome with a live link.</w:t>
            </w:r>
          </w:p>
          <w:p>
            <w:pPr>
              <w:spacing w:after="40" w:before="40"/>
            </w:pPr>
            <w:r>
              <w:rPr>
                <w:rFonts w:ascii="Arial" w:cs="Arial" w:eastAsia="Arial" w:hAnsi="Arial"/>
                <w:sz w:val="21"/>
                <w:szCs w:val="21"/>
              </w:rPr>
              <w:t xml:space="preserve">3.  Add a real headshot or logo for the founder in the About section.</w:t>
            </w:r>
          </w:p>
          <w:p>
            <w:pPr>
              <w:spacing w:after="40" w:before="40"/>
            </w:pPr>
            <w:r>
              <w:rPr>
                <w:rFonts w:ascii="Arial" w:cs="Arial" w:eastAsia="Arial" w:hAnsi="Arial"/>
                <w:sz w:val="21"/>
                <w:szCs w:val="21"/>
              </w:rPr>
              <w:t xml:space="preserve">4.  Publish 2–3 blog posts before running any paid traffic.</w:t>
            </w:r>
          </w:p>
          <w:p>
            <w:pPr>
              <w:spacing w:after="40" w:before="40"/>
            </w:pPr>
            <w:r>
              <w:rPr>
                <w:rFonts w:ascii="Arial" w:cs="Arial" w:eastAsia="Arial" w:hAnsi="Arial"/>
                <w:sz w:val="21"/>
                <w:szCs w:val="21"/>
              </w:rPr>
              <w:t xml:space="preserve">5.  Add a Google Business Profile and link to it from the footer.</w:t>
            </w:r>
          </w:p>
        </w:tc>
      </w:tr>
    </w:tbl>
    <w:p>
      <w:pPr>
        <w:pBdr>
          <w:bottom w:val="single" w:color="00B0D0" w:sz="4" w:space="1"/>
        </w:pBdr>
        <w:spacing w:after="160" w:before="160"/>
      </w:pPr>
    </w:p>
    <w:p>
      <w:pPr>
        <w:pStyle w:val="Heading1"/>
        <w:spacing w:after="120" w:before="360"/>
      </w:pPr>
      <w:r>
        <w:rPr>
          <w:rFonts w:ascii="Arial" w:cs="Arial" w:eastAsia="Arial" w:hAnsi="Arial"/>
          <w:b/>
          <w:bCs/>
          <w:color w:val="1F4E79"/>
          <w:sz w:val="34"/>
          <w:szCs w:val="34"/>
        </w:rPr>
        <w:t xml:space="preserve">3.  Cost Implications</w:t>
      </w:r>
    </w:p>
    <w:p>
      <w:pPr>
        <w:spacing w:after="80" w:before="60"/>
      </w:pPr>
      <w:r>
        <w:rPr>
          <w:rFonts w:ascii="Arial" w:cs="Arial" w:eastAsia="Arial" w:hAnsi="Arial"/>
          <w:sz w:val="22"/>
          <w:szCs w:val="22"/>
        </w:rPr>
        <w:t xml:space="preserve">The €499 price point appears simple, but the real cost picture is more complex once infrastructure, payment fees, time investment, and customer acquisition costs are factored in. Without understanding the true margin per project, it is easy to be busy and unprofitable.</w:t>
      </w:r>
    </w:p>
    <w:p>
      <w:r>
        <w:t xml:space="preserve"/>
      </w:r>
    </w:p>
    <w:p>
      <w:pPr>
        <w:pStyle w:val="Heading2"/>
        <w:spacing w:after="100" w:before="280"/>
      </w:pPr>
      <w:r>
        <w:rPr>
          <w:rFonts w:ascii="Arial" w:cs="Arial" w:eastAsia="Arial" w:hAnsi="Arial"/>
          <w:b/>
          <w:bCs/>
          <w:color w:val="1F4E79"/>
          <w:sz w:val="28"/>
          <w:szCs w:val="28"/>
        </w:rPr>
        <w:t xml:space="preserve">3.1  Infrastructure Cost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c>
          <w:tcPr>
            <w:tcW w:type="dxa" w:w="2800"/>
            <w:tcBorders>
              <w:top w:val="single" w:color="CCCCCC" w:sz="1"/>
              <w:left w:val="single" w:color="CCCCCC" w:sz="1"/>
              <w:bottom w:val="single" w:color="CCCCCC" w:sz="1"/>
              <w:right w:val="single" w:color="CCCCCC" w:sz="1"/>
            </w:tcBorders>
            <w:shd w:fill="2E3A4B" w:val="clear"/>
            <w:tcMar>
              <w:top w:type="dxa" w:w="80"/>
              <w:left w:type="dxa" w:w="120"/>
              <w:bottom w:type="dxa" w:w="80"/>
              <w:right w:type="dxa" w:w="120"/>
            </w:tcMar>
          </w:tcPr>
          <w:p>
            <w:r>
              <w:rPr>
                <w:rFonts w:ascii="Arial" w:cs="Arial" w:eastAsia="Arial" w:hAnsi="Arial"/>
                <w:b/>
                <w:bCs/>
                <w:color w:val="FFFFFF"/>
                <w:sz w:val="21"/>
                <w:szCs w:val="21"/>
              </w:rPr>
              <w:t xml:space="preserve">Service</w:t>
            </w:r>
          </w:p>
        </w:tc>
        <w:tc>
          <w:tcPr>
            <w:tcW w:type="dxa" w:w="1600"/>
            <w:tcBorders>
              <w:top w:val="single" w:color="CCCCCC" w:sz="1"/>
              <w:left w:val="single" w:color="CCCCCC" w:sz="1"/>
              <w:bottom w:val="single" w:color="CCCCCC" w:sz="1"/>
              <w:right w:val="single" w:color="CCCCCC" w:sz="1"/>
            </w:tcBorders>
            <w:shd w:fill="2E3A4B" w:val="clear"/>
            <w:tcMar>
              <w:top w:type="dxa" w:w="80"/>
              <w:left w:type="dxa" w:w="120"/>
              <w:bottom w:type="dxa" w:w="80"/>
              <w:right w:type="dxa" w:w="120"/>
            </w:tcMar>
          </w:tcPr>
          <w:p>
            <w:r>
              <w:rPr>
                <w:rFonts w:ascii="Arial" w:cs="Arial" w:eastAsia="Arial" w:hAnsi="Arial"/>
                <w:b/>
                <w:bCs/>
                <w:color w:val="FFFFFF"/>
                <w:sz w:val="21"/>
                <w:szCs w:val="21"/>
              </w:rPr>
              <w:t xml:space="preserve">Free Tier Limit</w:t>
            </w:r>
          </w:p>
        </w:tc>
        <w:tc>
          <w:tcPr>
            <w:tcW w:type="dxa" w:w="1600"/>
            <w:tcBorders>
              <w:top w:val="single" w:color="CCCCCC" w:sz="1"/>
              <w:left w:val="single" w:color="CCCCCC" w:sz="1"/>
              <w:bottom w:val="single" w:color="CCCCCC" w:sz="1"/>
              <w:right w:val="single" w:color="CCCCCC" w:sz="1"/>
            </w:tcBorders>
            <w:shd w:fill="2E3A4B" w:val="clear"/>
            <w:tcMar>
              <w:top w:type="dxa" w:w="80"/>
              <w:left w:type="dxa" w:w="120"/>
              <w:bottom w:type="dxa" w:w="80"/>
              <w:right w:type="dxa" w:w="120"/>
            </w:tcMar>
          </w:tcPr>
          <w:p>
            <w:r>
              <w:rPr>
                <w:rFonts w:ascii="Arial" w:cs="Arial" w:eastAsia="Arial" w:hAnsi="Arial"/>
                <w:b/>
                <w:bCs/>
                <w:color w:val="FFFFFF"/>
                <w:sz w:val="21"/>
                <w:szCs w:val="21"/>
              </w:rPr>
              <w:t xml:space="preserve">Paid Plan</w:t>
            </w:r>
          </w:p>
        </w:tc>
        <w:tc>
          <w:tcPr>
            <w:tcW w:type="dxa" w:w="3360"/>
            <w:tcBorders>
              <w:top w:val="single" w:color="CCCCCC" w:sz="1"/>
              <w:left w:val="single" w:color="CCCCCC" w:sz="1"/>
              <w:bottom w:val="single" w:color="CCCCCC" w:sz="1"/>
              <w:right w:val="single" w:color="CCCCCC" w:sz="1"/>
            </w:tcBorders>
            <w:shd w:fill="2E3A4B" w:val="clear"/>
            <w:tcMar>
              <w:top w:type="dxa" w:w="80"/>
              <w:left w:type="dxa" w:w="120"/>
              <w:bottom w:type="dxa" w:w="80"/>
              <w:right w:type="dxa" w:w="120"/>
            </w:tcMar>
          </w:tcPr>
          <w:p>
            <w:r>
              <w:rPr>
                <w:rFonts w:ascii="Arial" w:cs="Arial" w:eastAsia="Arial" w:hAnsi="Arial"/>
                <w:b/>
                <w:bCs/>
                <w:color w:val="FFFFFF"/>
                <w:sz w:val="21"/>
                <w:szCs w:val="21"/>
              </w:rPr>
              <w:t xml:space="preserve">Risk / Note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Vercel (hosting)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Hobby — no SLA, no custom domains on free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Pro: $20/mo</w:t>
            </w:r>
          </w:p>
        </w:tc>
        <w:tc>
          <w:tcPr>
            <w:tcW w:type="dxa" w:w="3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1"/>
                <w:szCs w:val="21"/>
              </w:rPr>
              <w:t xml:space="preserve">Hobby tier bans commercial use. Pro is required for client sites. Budget ~€19/mo minimum.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Supabase (database)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500MB DB, 2 projects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Pro: $25/mo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Free tier pauses inactive projects after 1 week. Sufficient initially but plan for Pro as client data grows.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Resend (email)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3,000 emails/mo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$20/mo+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Free tier adequate for early stage. Newsletter growth will push this to paid faster than expected.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Crisp (live chat)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 seats, limited history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€25–€95/mo</w:t>
            </w:r>
          </w:p>
        </w:tc>
        <w:tc>
          <w:tcPr>
            <w:tcW w:type="dxa" w:w="3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1"/>
                <w:szCs w:val="21"/>
              </w:rPr>
              <w:t xml:space="preserve">Free tier workable at launch. Upgrade only when chat volume justifies 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Stripe (payments)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No monthly fee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1.4% + €0.25/txn (EU)</w:t>
            </w:r>
          </w:p>
        </w:tc>
        <w:tc>
          <w:tcPr>
            <w:tcW w:type="dxa" w:w="3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1"/>
                <w:szCs w:val="21"/>
              </w:rPr>
              <w:t xml:space="preserve">Full €499 project: ~€7.45 in fees. Non-EU cards: 2.9% + €0.25 = ~€14.75. Chargebacks cost €15 each regardless of outcome.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Sentry (error tracking)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5K errors/mo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$26/mo+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Free tier adequate. Source maps config needs completing for production tracking to be useful.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6"/>
              <w:left w:val="single" w:color="1F4E79" w:sz="6"/>
              <w:bottom w:val="single" w:color="CCCCCC" w:sz="1"/>
              <w:right w:val="single" w:color="CCCCCC" w:sz="1"/>
            </w:tcBorders>
            <w:shd w:fill="EAF2FA" w:val="clear"/>
            <w:tcMar>
              <w:top w:type="dxa" w:w="100"/>
              <w:left w:type="dxa" w:w="160"/>
              <w:bottom w:type="dxa" w:w="100"/>
              <w:right w:type="dxa" w:w="160"/>
            </w:tcMar>
          </w:tcPr>
          <w:p>
            <w:r>
              <w:rPr>
                <w:rFonts w:ascii="Arial" w:cs="Arial" w:eastAsia="Arial" w:hAnsi="Arial"/>
                <w:b/>
                <w:bCs/>
                <w:color w:val="1F4E79"/>
                <w:sz w:val="22"/>
                <w:szCs w:val="22"/>
              </w:rPr>
              <w:t xml:space="preserve">Minimum viable monthly infrastructure cost</w:t>
            </w:r>
          </w:p>
          <w:p>
            <w:pPr>
              <w:spacing w:after="40" w:before="40"/>
            </w:pPr>
            <w:r>
              <w:rPr>
                <w:rFonts w:ascii="Arial" w:cs="Arial" w:eastAsia="Arial" w:hAnsi="Arial"/>
                <w:sz w:val="21"/>
                <w:szCs w:val="21"/>
              </w:rPr>
              <w:t xml:space="preserve">Vercel Pro:  ~€19/mo  (required for commercial use)</w:t>
            </w:r>
          </w:p>
          <w:p>
            <w:pPr>
              <w:spacing w:after="40" w:before="40"/>
            </w:pPr>
            <w:r>
              <w:rPr>
                <w:rFonts w:ascii="Arial" w:cs="Arial" w:eastAsia="Arial" w:hAnsi="Arial"/>
                <w:sz w:val="21"/>
                <w:szCs w:val="21"/>
              </w:rPr>
              <w:t xml:space="preserve">Supabase free:  €0  (adequate until ~5+ active projects)</w:t>
            </w:r>
          </w:p>
          <w:p>
            <w:pPr>
              <w:spacing w:after="40" w:before="40"/>
            </w:pPr>
            <w:r>
              <w:rPr>
                <w:rFonts w:ascii="Arial" w:cs="Arial" w:eastAsia="Arial" w:hAnsi="Arial"/>
                <w:sz w:val="21"/>
                <w:szCs w:val="21"/>
              </w:rPr>
              <w:t xml:space="preserve">Domain (evomedia.site):  ~€12/yr</w:t>
            </w:r>
          </w:p>
          <w:p>
            <w:pPr>
              <w:spacing w:after="40" w:before="40"/>
            </w:pPr>
            <w:r>
              <w:rPr>
                <w:rFonts w:ascii="Arial" w:cs="Arial" w:eastAsia="Arial" w:hAnsi="Arial"/>
                <w:sz w:val="21"/>
                <w:szCs w:val="21"/>
              </w:rPr>
              <w:t xml:space="preserve">Estimated baseline:  €19–25/month  before any customer acquisition spend.</w:t>
            </w:r>
          </w:p>
        </w:tc>
      </w:tr>
    </w:tbl>
    <w:p>
      <w:r>
        <w:t xml:space="preserve"/>
      </w:r>
    </w:p>
    <w:p>
      <w:pPr>
        <w:pStyle w:val="Heading2"/>
        <w:spacing w:after="100" w:before="280"/>
      </w:pPr>
      <w:r>
        <w:rPr>
          <w:rFonts w:ascii="Arial" w:cs="Arial" w:eastAsia="Arial" w:hAnsi="Arial"/>
          <w:b/>
          <w:bCs/>
          <w:color w:val="1F4E79"/>
          <w:sz w:val="28"/>
          <w:szCs w:val="28"/>
        </w:rPr>
        <w:t xml:space="preserve">3.2  Real Margin Per Project</w:t>
      </w:r>
    </w:p>
    <w:p>
      <w:pPr>
        <w:spacing w:after="80" w:before="60"/>
      </w:pPr>
      <w:r>
        <w:rPr>
          <w:rFonts w:ascii="Arial" w:cs="Arial" w:eastAsia="Arial" w:hAnsi="Arial"/>
          <w:sz w:val="22"/>
          <w:szCs w:val="22"/>
        </w:rPr>
        <w:t xml:space="preserve">At €499 per project, the margin depends almost entirely on hours invested. The following table models three realistic scenarios based on client complexity and revision rounds: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c>
          <w:tcPr>
            <w:tcW w:type="dxa" w:w="2400"/>
            <w:tcBorders>
              <w:top w:val="single" w:color="CCCCCC" w:sz="1"/>
              <w:left w:val="single" w:color="CCCCCC" w:sz="1"/>
              <w:bottom w:val="single" w:color="CCCCCC" w:sz="1"/>
              <w:right w:val="single" w:color="CCCCCC" w:sz="1"/>
            </w:tcBorders>
            <w:shd w:fill="2E3A4B" w:val="clear"/>
            <w:tcMar>
              <w:top w:type="dxa" w:w="80"/>
              <w:left w:type="dxa" w:w="120"/>
              <w:bottom w:type="dxa" w:w="80"/>
              <w:right w:type="dxa" w:w="120"/>
            </w:tcMar>
          </w:tcPr>
          <w:p>
            <w:r>
              <w:rPr>
                <w:rFonts w:ascii="Arial" w:cs="Arial" w:eastAsia="Arial" w:hAnsi="Arial"/>
                <w:b/>
                <w:bCs/>
                <w:color w:val="FFFFFF"/>
                <w:sz w:val="21"/>
                <w:szCs w:val="21"/>
              </w:rPr>
              <w:t xml:space="preserve">Scenario</w:t>
            </w:r>
          </w:p>
        </w:tc>
        <w:tc>
          <w:tcPr>
            <w:tcW w:type="dxa" w:w="1600"/>
            <w:tcBorders>
              <w:top w:val="single" w:color="CCCCCC" w:sz="1"/>
              <w:left w:val="single" w:color="CCCCCC" w:sz="1"/>
              <w:bottom w:val="single" w:color="CCCCCC" w:sz="1"/>
              <w:right w:val="single" w:color="CCCCCC" w:sz="1"/>
            </w:tcBorders>
            <w:shd w:fill="2E3A4B" w:val="clear"/>
            <w:tcMar>
              <w:top w:type="dxa" w:w="80"/>
              <w:left w:type="dxa" w:w="120"/>
              <w:bottom w:type="dxa" w:w="80"/>
              <w:right w:type="dxa" w:w="120"/>
            </w:tcMar>
          </w:tcPr>
          <w:p>
            <w:r>
              <w:rPr>
                <w:rFonts w:ascii="Arial" w:cs="Arial" w:eastAsia="Arial" w:hAnsi="Arial"/>
                <w:b/>
                <w:bCs/>
                <w:color w:val="FFFFFF"/>
                <w:sz w:val="21"/>
                <w:szCs w:val="21"/>
              </w:rPr>
              <w:t xml:space="preserve">Hours</w:t>
            </w:r>
          </w:p>
        </w:tc>
        <w:tc>
          <w:tcPr>
            <w:tcW w:type="dxa" w:w="1600"/>
            <w:tcBorders>
              <w:top w:val="single" w:color="CCCCCC" w:sz="1"/>
              <w:left w:val="single" w:color="CCCCCC" w:sz="1"/>
              <w:bottom w:val="single" w:color="CCCCCC" w:sz="1"/>
              <w:right w:val="single" w:color="CCCCCC" w:sz="1"/>
            </w:tcBorders>
            <w:shd w:fill="2E3A4B" w:val="clear"/>
            <w:tcMar>
              <w:top w:type="dxa" w:w="80"/>
              <w:left w:type="dxa" w:w="120"/>
              <w:bottom w:type="dxa" w:w="80"/>
              <w:right w:type="dxa" w:w="120"/>
            </w:tcMar>
          </w:tcPr>
          <w:p>
            <w:r>
              <w:rPr>
                <w:rFonts w:ascii="Arial" w:cs="Arial" w:eastAsia="Arial" w:hAnsi="Arial"/>
                <w:b/>
                <w:bCs/>
                <w:color w:val="FFFFFF"/>
                <w:sz w:val="21"/>
                <w:szCs w:val="21"/>
              </w:rPr>
              <w:t xml:space="preserve">Effective Rate</w:t>
            </w:r>
          </w:p>
        </w:tc>
        <w:tc>
          <w:tcPr>
            <w:tcW w:type="dxa" w:w="1600"/>
            <w:tcBorders>
              <w:top w:val="single" w:color="CCCCCC" w:sz="1"/>
              <w:left w:val="single" w:color="CCCCCC" w:sz="1"/>
              <w:bottom w:val="single" w:color="CCCCCC" w:sz="1"/>
              <w:right w:val="single" w:color="CCCCCC" w:sz="1"/>
            </w:tcBorders>
            <w:shd w:fill="2E3A4B" w:val="clear"/>
            <w:tcMar>
              <w:top w:type="dxa" w:w="80"/>
              <w:left w:type="dxa" w:w="120"/>
              <w:bottom w:type="dxa" w:w="80"/>
              <w:right w:type="dxa" w:w="120"/>
            </w:tcMar>
          </w:tcPr>
          <w:p>
            <w:r>
              <w:rPr>
                <w:rFonts w:ascii="Arial" w:cs="Arial" w:eastAsia="Arial" w:hAnsi="Arial"/>
                <w:b/>
                <w:bCs/>
                <w:color w:val="FFFFFF"/>
                <w:sz w:val="21"/>
                <w:szCs w:val="21"/>
              </w:rPr>
              <w:t xml:space="preserve">Stripe Fees</w:t>
            </w:r>
          </w:p>
        </w:tc>
        <w:tc>
          <w:tcPr>
            <w:tcW w:type="dxa" w:w="2160"/>
            <w:tcBorders>
              <w:top w:val="single" w:color="CCCCCC" w:sz="1"/>
              <w:left w:val="single" w:color="CCCCCC" w:sz="1"/>
              <w:bottom w:val="single" w:color="CCCCCC" w:sz="1"/>
              <w:right w:val="single" w:color="CCCCCC" w:sz="1"/>
            </w:tcBorders>
            <w:shd w:fill="2E3A4B" w:val="clear"/>
            <w:tcMar>
              <w:top w:type="dxa" w:w="80"/>
              <w:left w:type="dxa" w:w="120"/>
              <w:bottom w:type="dxa" w:w="80"/>
              <w:right w:type="dxa" w:w="120"/>
            </w:tcMar>
          </w:tcPr>
          <w:p>
            <w:r>
              <w:rPr>
                <w:rFonts w:ascii="Arial" w:cs="Arial" w:eastAsia="Arial" w:hAnsi="Arial"/>
                <w:b/>
                <w:bCs/>
                <w:color w:val="FFFFFF"/>
                <w:sz w:val="21"/>
                <w:szCs w:val="21"/>
              </w:rPr>
              <w:t xml:space="preserve">Net after fees</w:t>
            </w:r>
          </w:p>
        </w:tc>
      </w:tr>
      <w:tr>
        <w:tc>
          <w:tcPr>
            <w:tcW w:type="dxa" w:w="24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bCs/>
                <w:color w:val="2E7D32"/>
                <w:sz w:val="21"/>
                <w:szCs w:val="21"/>
              </w:rPr>
              <w:t xml:space="preserve">Best case (clear brief, 1 round)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8–10 hrs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€50–62/hr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~€7.45</w:t>
            </w:r>
          </w:p>
        </w:tc>
        <w:tc>
          <w:tcPr>
            <w:tcW w:type="dxa" w:w="216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bCs/>
                <w:color w:val="2E7D32"/>
                <w:sz w:val="21"/>
                <w:szCs w:val="21"/>
              </w:rPr>
              <w:t xml:space="preserve">~€491</w:t>
            </w:r>
          </w:p>
        </w:tc>
      </w:tr>
      <w:tr>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F8C00"/>
                <w:sz w:val="21"/>
                <w:szCs w:val="21"/>
              </w:rPr>
              <w:t xml:space="preserve">Typical case (vague brief, 2–3 rounds)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15–20 hrs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€25–33/hr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~€7.45</w:t>
            </w:r>
          </w:p>
        </w:tc>
        <w:tc>
          <w:tcPr>
            <w:tcW w:type="dxa" w:w="2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F8C00"/>
                <w:sz w:val="21"/>
                <w:szCs w:val="21"/>
              </w:rPr>
              <w:t xml:space="preserve">~€491</w:t>
            </w:r>
          </w:p>
        </w:tc>
      </w:tr>
      <w:tr>
        <w:tc>
          <w:tcPr>
            <w:tcW w:type="dxa" w:w="2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00000"/>
                <w:sz w:val="21"/>
                <w:szCs w:val="21"/>
              </w:rPr>
              <w:t xml:space="preserve">Worst case (scope creep, late changes)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30+ hrs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&lt;€16/hr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~€7.45</w:t>
            </w:r>
          </w:p>
        </w:tc>
        <w:tc>
          <w:tcPr>
            <w:tcW w:type="dxa" w:w="2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00000"/>
                <w:sz w:val="21"/>
                <w:szCs w:val="21"/>
              </w:rPr>
              <w:t xml:space="preserve">~€491 but unsustainable</w:t>
            </w:r>
          </w:p>
        </w:tc>
      </w:tr>
    </w:tbl>
    <w:p>
      <w:r>
        <w:t xml:space="preserve"/>
      </w:r>
    </w:p>
    <w:p>
      <w:pPr>
        <w:pStyle w:val="Heading2"/>
        <w:spacing w:after="100" w:before="280"/>
      </w:pPr>
      <w:r>
        <w:rPr>
          <w:rFonts w:ascii="Arial" w:cs="Arial" w:eastAsia="Arial" w:hAnsi="Arial"/>
          <w:b/>
          <w:bCs/>
          <w:color w:val="1F4E79"/>
          <w:sz w:val="28"/>
          <w:szCs w:val="28"/>
        </w:rPr>
        <w:t xml:space="preserve">3.3  Structural Revenue Risks</w:t>
      </w:r>
    </w:p>
    <w:p>
      <w:pPr>
        <w:spacing w:after="80" w:before="200"/>
      </w:pPr>
      <w:r>
        <w:rPr>
          <w:rFonts w:ascii="Arial" w:cs="Arial" w:eastAsia="Arial" w:hAnsi="Arial"/>
          <w:b/>
          <w:bCs/>
          <w:color w:val="333333"/>
          <w:sz w:val="24"/>
          <w:szCs w:val="24"/>
        </w:rPr>
        <w:t xml:space="preserve">No recurring revenue</w:t>
      </w:r>
    </w:p>
    <w:p>
      <w:pPr>
        <w:spacing w:after="80" w:before="60"/>
      </w:pPr>
      <w:r>
        <w:rPr>
          <w:rFonts w:ascii="Arial" w:cs="Arial" w:eastAsia="Arial" w:hAnsi="Arial"/>
          <w:sz w:val="22"/>
          <w:szCs w:val="22"/>
        </w:rPr>
        <w:t xml:space="preserve">Every month starts at zero revenue. The current model is entirely project-based with no retainer, maintenance, or hosting income stream. One slow month with no new projects means no income. Even a basic €29–49/month maintenance package (updates, backups, minor edits) sold to 10 clients creates €290–€490 of stable monthly baseline income.</w:t>
      </w:r>
    </w:p>
    <w:p>
      <w:pPr>
        <w:spacing w:after="80" w:before="200"/>
      </w:pPr>
      <w:r>
        <w:rPr>
          <w:rFonts w:ascii="Arial" w:cs="Arial" w:eastAsia="Arial" w:hAnsi="Arial"/>
          <w:b/>
          <w:bCs/>
          <w:color w:val="333333"/>
          <w:sz w:val="24"/>
          <w:szCs w:val="24"/>
        </w:rPr>
        <w:t xml:space="preserve">Scope creep is the main margin destroyer</w:t>
      </w:r>
    </w:p>
    <w:p>
      <w:pPr>
        <w:spacing w:after="80" w:before="60"/>
      </w:pPr>
      <w:r>
        <w:rPr>
          <w:rFonts w:ascii="Arial" w:cs="Arial" w:eastAsia="Arial" w:hAnsi="Arial"/>
          <w:sz w:val="22"/>
          <w:szCs w:val="22"/>
        </w:rPr>
        <w:t xml:space="preserve">The FAQ mentions 'revision rounds included' without specifying how many. Without a written limit (e.g. two rounds of revisions), clients will treat the project as open-ended. Each additional round adds hours without additional revenue. Fix this by specifying exactly what is included and what triggers a change order.</w:t>
      </w:r>
    </w:p>
    <w:p>
      <w:pPr>
        <w:spacing w:after="80" w:before="200"/>
      </w:pPr>
      <w:r>
        <w:rPr>
          <w:rFonts w:ascii="Arial" w:cs="Arial" w:eastAsia="Arial" w:hAnsi="Arial"/>
          <w:b/>
          <w:bCs/>
          <w:color w:val="333333"/>
          <w:sz w:val="24"/>
          <w:szCs w:val="24"/>
        </w:rPr>
        <w:t xml:space="preserve">Customer acquisition cost is unknown</w:t>
      </w:r>
    </w:p>
    <w:p>
      <w:pPr>
        <w:spacing w:after="80" w:before="60"/>
      </w:pPr>
      <w:r>
        <w:rPr>
          <w:rFonts w:ascii="Arial" w:cs="Arial" w:eastAsia="Arial" w:hAnsi="Arial"/>
          <w:sz w:val="22"/>
          <w:szCs w:val="22"/>
        </w:rPr>
        <w:t xml:space="preserve">There is currently no marketing budget, no paid channel, and no estimated cost to acquire a client. If acquiring one client via paid ads costs €150–€300 (a realistic figure for a new agency), that reduces a €499 project to effectively €199–€349 gross before time costs. This needs to be modelled before any paid spend begins.</w:t>
      </w:r>
    </w:p>
    <w:p>
      <w:pPr>
        <w:spacing w:after="80" w:before="200"/>
      </w:pPr>
      <w:r>
        <w:rPr>
          <w:rFonts w:ascii="Arial" w:cs="Arial" w:eastAsia="Arial" w:hAnsi="Arial"/>
          <w:b/>
          <w:bCs/>
          <w:color w:val="333333"/>
          <w:sz w:val="24"/>
          <w:szCs w:val="24"/>
        </w:rPr>
        <w:t xml:space="preserve">The €50 deposit does not protect against wasted work</w:t>
      </w:r>
    </w:p>
    <w:p>
      <w:pPr>
        <w:spacing w:after="80" w:before="60"/>
      </w:pPr>
      <w:r>
        <w:rPr>
          <w:rFonts w:ascii="Arial" w:cs="Arial" w:eastAsia="Arial" w:hAnsi="Arial"/>
          <w:sz w:val="22"/>
          <w:szCs w:val="22"/>
        </w:rPr>
        <w:t xml:space="preserve">If a client pays the €50 deposit, work begins, and then the client goes silent or cancels, €50 may not cover the time already invested. Consider a higher deposit (25–30% = €125–€150) once the business is established, or ensure the brief-first flow means no significant work begins until the brief is fully confirmed.</w:t>
      </w:r>
    </w:p>
    <w:p>
      <w:r>
        <w:t xml:space="preserve"/>
      </w:r>
    </w:p>
    <w:p>
      <w:pPr>
        <w:pStyle w:val="Heading2"/>
        <w:spacing w:after="100" w:before="280"/>
      </w:pPr>
      <w:r>
        <w:rPr>
          <w:rFonts w:ascii="Arial" w:cs="Arial" w:eastAsia="Arial" w:hAnsi="Arial"/>
          <w:b/>
          <w:bCs/>
          <w:color w:val="1F4E79"/>
          <w:sz w:val="28"/>
          <w:szCs w:val="28"/>
        </w:rPr>
        <w:t xml:space="preserve">3.4  Mitigation Strategy</w:t>
      </w:r>
    </w:p>
    <w:p>
      <w:pPr>
        <w:spacing w:after="80" w:before="200"/>
      </w:pPr>
      <w:r>
        <w:rPr>
          <w:rFonts w:ascii="Arial" w:cs="Arial" w:eastAsia="Arial" w:hAnsi="Arial"/>
          <w:b/>
          <w:bCs/>
          <w:color w:val="333333"/>
          <w:sz w:val="24"/>
          <w:szCs w:val="24"/>
        </w:rPr>
        <w:t xml:space="preserve">Introduce a maintenance/care package</w:t>
      </w:r>
    </w:p>
    <w:p>
      <w:pPr>
        <w:spacing w:after="80" w:before="60"/>
      </w:pPr>
      <w:r>
        <w:rPr>
          <w:rFonts w:ascii="Arial" w:cs="Arial" w:eastAsia="Arial" w:hAnsi="Arial"/>
          <w:sz w:val="22"/>
          <w:szCs w:val="22"/>
        </w:rPr>
        <w:t xml:space="preserve">After each project launch, offer a simple monthly plan: €39/month covers hosting management (monitoring, updates, backups) and one minor content update per month. Pitched at launch as an optional add-on, even a 30% take-up rate builds meaningful recurring revenue quickly.</w:t>
      </w:r>
    </w:p>
    <w:p>
      <w:pPr>
        <w:spacing w:after="80" w:before="200"/>
      </w:pPr>
      <w:r>
        <w:rPr>
          <w:rFonts w:ascii="Arial" w:cs="Arial" w:eastAsia="Arial" w:hAnsi="Arial"/>
          <w:b/>
          <w:bCs/>
          <w:color w:val="333333"/>
          <w:sz w:val="24"/>
          <w:szCs w:val="24"/>
        </w:rPr>
        <w:t xml:space="preserve">Add explicit revision limits to ToS and FAQ</w:t>
      </w:r>
    </w:p>
    <w:p>
      <w:pPr>
        <w:spacing w:after="80" w:before="60"/>
      </w:pPr>
      <w:r>
        <w:rPr>
          <w:rFonts w:ascii="Arial" w:cs="Arial" w:eastAsia="Arial" w:hAnsi="Arial"/>
          <w:sz w:val="22"/>
          <w:szCs w:val="22"/>
        </w:rPr>
        <w:t xml:space="preserve">Update the FAQ answer on revisions to specify: 'The Standard package includes two rounds of revisions. Additional revision rounds are quoted at €75 each.' This single change prevents scope creep and sets professional expectations from the first interaction.</w:t>
      </w:r>
    </w:p>
    <w:p>
      <w:pPr>
        <w:spacing w:after="80" w:before="200"/>
      </w:pPr>
      <w:r>
        <w:rPr>
          <w:rFonts w:ascii="Arial" w:cs="Arial" w:eastAsia="Arial" w:hAnsi="Arial"/>
          <w:b/>
          <w:bCs/>
          <w:color w:val="333333"/>
          <w:sz w:val="24"/>
          <w:szCs w:val="24"/>
        </w:rPr>
        <w:t xml:space="preserve">Track time from day one</w:t>
      </w:r>
    </w:p>
    <w:p>
      <w:pPr>
        <w:spacing w:after="80" w:before="60"/>
      </w:pPr>
      <w:r>
        <w:rPr>
          <w:rFonts w:ascii="Arial" w:cs="Arial" w:eastAsia="Arial" w:hAnsi="Arial"/>
          <w:sz w:val="22"/>
          <w:szCs w:val="22"/>
        </w:rPr>
        <w:t xml:space="preserve">Use a simple time tracker (Toggl, Clockify — both free) from the first project. After 5 projects, you will have real data on average hours per project type, which allows accurate pricing for custom and e-commerce builds and identifies whether the €499 price point is sustainable long-term.</w:t>
      </w:r>
    </w:p>
    <w:p>
      <w:pPr>
        <w:spacing w:after="80" w:before="200"/>
      </w:pPr>
      <w:r>
        <w:rPr>
          <w:rFonts w:ascii="Arial" w:cs="Arial" w:eastAsia="Arial" w:hAnsi="Arial"/>
          <w:b/>
          <w:bCs/>
          <w:color w:val="333333"/>
          <w:sz w:val="24"/>
          <w:szCs w:val="24"/>
        </w:rPr>
        <w:t xml:space="preserve">Model a 3-month cost runway before scaling</w:t>
      </w:r>
    </w:p>
    <w:p>
      <w:pPr>
        <w:spacing w:after="80" w:before="60"/>
      </w:pPr>
      <w:r>
        <w:rPr>
          <w:rFonts w:ascii="Arial" w:cs="Arial" w:eastAsia="Arial" w:hAnsi="Arial"/>
          <w:sz w:val="22"/>
          <w:szCs w:val="22"/>
        </w:rPr>
        <w:t xml:space="preserve">Before investing in paid marketing, calculate your minimum monthly cost (infrastructure + time cost + any tooling) and ensure you have 3 months of that covered. For Evolution Media at current costs, this is approximately €600–€900 in reserved cash — achievable with 1–2 projects.</w:t>
      </w:r>
    </w:p>
    <w:p>
      <w:pPr>
        <w:pBdr>
          <w:bottom w:val="single" w:color="00B0D0" w:sz="4" w:space="1"/>
        </w:pBdr>
        <w:spacing w:after="160" w:before="160"/>
      </w:pPr>
    </w:p>
    <w:p>
      <w:pPr>
        <w:pStyle w:val="Heading1"/>
        <w:spacing w:after="120" w:before="360"/>
      </w:pPr>
      <w:r>
        <w:rPr>
          <w:rFonts w:ascii="Arial" w:cs="Arial" w:eastAsia="Arial" w:hAnsi="Arial"/>
          <w:b/>
          <w:bCs/>
          <w:color w:val="1F4E79"/>
          <w:sz w:val="34"/>
          <w:szCs w:val="34"/>
        </w:rPr>
        <w:t xml:space="preserve">4.  Priority Action Summary</w:t>
      </w:r>
    </w:p>
    <w:p>
      <w:pPr>
        <w:spacing w:after="80" w:before="60"/>
      </w:pPr>
      <w:r>
        <w:rPr>
          <w:rFonts w:ascii="Arial" w:cs="Arial" w:eastAsia="Arial" w:hAnsi="Arial"/>
          <w:sz w:val="22"/>
          <w:szCs w:val="22"/>
        </w:rPr>
        <w:t xml:space="preserve">Based on the analysis above, the following actions should be completed in order of urgency before any significant marketing spend or scaling effort: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5160"/>
        <w:gridCol w:w="1800"/>
      </w:tblGrid>
      <w:tr>
        <w:tc>
          <w:tcPr>
            <w:tcW w:type="dxa" w:w="600"/>
            <w:tcBorders>
              <w:top w:val="single" w:color="CCCCCC" w:sz="1"/>
              <w:left w:val="single" w:color="CCCCCC" w:sz="1"/>
              <w:bottom w:val="single" w:color="CCCCCC" w:sz="1"/>
              <w:right w:val="single" w:color="CCCCCC" w:sz="1"/>
            </w:tcBorders>
            <w:shd w:fill="2E3A4B" w:val="clear"/>
            <w:tcMar>
              <w:top w:type="dxa" w:w="80"/>
              <w:left w:type="dxa" w:w="120"/>
              <w:bottom w:type="dxa" w:w="80"/>
              <w:right w:type="dxa" w:w="120"/>
            </w:tcMar>
          </w:tcPr>
          <w:p>
            <w:r>
              <w:rPr>
                <w:rFonts w:ascii="Arial" w:cs="Arial" w:eastAsia="Arial" w:hAnsi="Arial"/>
                <w:b/>
                <w:bCs/>
                <w:color w:val="FFFFFF"/>
                <w:sz w:val="21"/>
                <w:szCs w:val="21"/>
              </w:rPr>
              <w:t xml:space="preserve">#</w:t>
            </w:r>
          </w:p>
        </w:tc>
        <w:tc>
          <w:tcPr>
            <w:tcW w:type="dxa" w:w="1800"/>
            <w:tcBorders>
              <w:top w:val="single" w:color="CCCCCC" w:sz="1"/>
              <w:left w:val="single" w:color="CCCCCC" w:sz="1"/>
              <w:bottom w:val="single" w:color="CCCCCC" w:sz="1"/>
              <w:right w:val="single" w:color="CCCCCC" w:sz="1"/>
            </w:tcBorders>
            <w:shd w:fill="2E3A4B" w:val="clear"/>
            <w:tcMar>
              <w:top w:type="dxa" w:w="80"/>
              <w:left w:type="dxa" w:w="120"/>
              <w:bottom w:type="dxa" w:w="80"/>
              <w:right w:type="dxa" w:w="120"/>
            </w:tcMar>
          </w:tcPr>
          <w:p>
            <w:r>
              <w:rPr>
                <w:rFonts w:ascii="Arial" w:cs="Arial" w:eastAsia="Arial" w:hAnsi="Arial"/>
                <w:b/>
                <w:bCs/>
                <w:color w:val="FFFFFF"/>
                <w:sz w:val="21"/>
                <w:szCs w:val="21"/>
              </w:rPr>
              <w:t xml:space="preserve">Area</w:t>
            </w:r>
          </w:p>
        </w:tc>
        <w:tc>
          <w:tcPr>
            <w:tcW w:type="dxa" w:w="5160"/>
            <w:tcBorders>
              <w:top w:val="single" w:color="CCCCCC" w:sz="1"/>
              <w:left w:val="single" w:color="CCCCCC" w:sz="1"/>
              <w:bottom w:val="single" w:color="CCCCCC" w:sz="1"/>
              <w:right w:val="single" w:color="CCCCCC" w:sz="1"/>
            </w:tcBorders>
            <w:shd w:fill="2E3A4B" w:val="clear"/>
            <w:tcMar>
              <w:top w:type="dxa" w:w="80"/>
              <w:left w:type="dxa" w:w="120"/>
              <w:bottom w:type="dxa" w:w="80"/>
              <w:right w:type="dxa" w:w="120"/>
            </w:tcMar>
          </w:tcPr>
          <w:p>
            <w:r>
              <w:rPr>
                <w:rFonts w:ascii="Arial" w:cs="Arial" w:eastAsia="Arial" w:hAnsi="Arial"/>
                <w:b/>
                <w:bCs/>
                <w:color w:val="FFFFFF"/>
                <w:sz w:val="21"/>
                <w:szCs w:val="21"/>
              </w:rPr>
              <w:t xml:space="preserve">Action</w:t>
            </w:r>
          </w:p>
        </w:tc>
        <w:tc>
          <w:tcPr>
            <w:tcW w:type="dxa" w:w="1800"/>
            <w:tcBorders>
              <w:top w:val="single" w:color="CCCCCC" w:sz="1"/>
              <w:left w:val="single" w:color="CCCCCC" w:sz="1"/>
              <w:bottom w:val="single" w:color="CCCCCC" w:sz="1"/>
              <w:right w:val="single" w:color="CCCCCC" w:sz="1"/>
            </w:tcBorders>
            <w:shd w:fill="2E3A4B" w:val="clear"/>
            <w:tcMar>
              <w:top w:type="dxa" w:w="80"/>
              <w:left w:type="dxa" w:w="120"/>
              <w:bottom w:type="dxa" w:w="80"/>
              <w:right w:type="dxa" w:w="120"/>
            </w:tcMar>
          </w:tcPr>
          <w:p>
            <w:r>
              <w:rPr>
                <w:rFonts w:ascii="Arial" w:cs="Arial" w:eastAsia="Arial" w:hAnsi="Arial"/>
                <w:b/>
                <w:bCs/>
                <w:color w:val="FFFFFF"/>
                <w:sz w:val="21"/>
                <w:szCs w:val="21"/>
              </w:rPr>
              <w:t xml:space="preserve">Priority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1"/>
                <w:szCs w:val="21"/>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1"/>
                <w:szCs w:val="21"/>
              </w:rPr>
              <w:t xml:space="preserve">Registration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Gate Stripe deposit behind completed brief form</w:t>
            </w:r>
          </w:p>
        </w:tc>
        <w:tc>
          <w:tcPr>
            <w:tcW w:type="dxa" w:w="1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CRITICAL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1"/>
                <w:szCs w:val="21"/>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1"/>
                <w:szCs w:val="21"/>
              </w:rPr>
              <w:t xml:space="preserve">Registration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Add ToS checkbox acceptance before payment</w:t>
            </w:r>
          </w:p>
        </w:tc>
        <w:tc>
          <w:tcPr>
            <w:tcW w:type="dxa" w:w="1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CRITICAL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1"/>
                <w:szCs w:val="21"/>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1"/>
                <w:szCs w:val="21"/>
              </w:rPr>
              <w:t xml:space="preserve">Marketing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Replace all placeholder testimonials with real ones</w:t>
            </w:r>
          </w:p>
        </w:tc>
        <w:tc>
          <w:tcPr>
            <w:tcW w:type="dxa" w:w="1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CRITICAL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1"/>
                <w:szCs w:val="21"/>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1"/>
                <w:szCs w:val="21"/>
              </w:rPr>
              <w:t xml:space="preserve">Registration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Automate €449 completion payment via Stripe Payment Link</w:t>
            </w:r>
          </w:p>
        </w:tc>
        <w:tc>
          <w:tcPr>
            <w:tcW w:type="dxa" w:w="1800"/>
            <w:tcBorders>
              <w:top w:val="single" w:color="CCCCCC" w:sz="1"/>
              <w:left w:val="single" w:color="CCCCCC" w:sz="1"/>
              <w:bottom w:val="single" w:color="CCCCCC" w:sz="1"/>
              <w:right w:val="single" w:color="CCCCCC" w:sz="1"/>
            </w:tcBorders>
            <w:shd w:fill="FF8C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1"/>
                <w:szCs w:val="21"/>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1"/>
                <w:szCs w:val="21"/>
              </w:rPr>
              <w:t xml:space="preserve">Marketing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Publish 3 targeted blog posts before running traffic</w:t>
            </w:r>
          </w:p>
        </w:tc>
        <w:tc>
          <w:tcPr>
            <w:tcW w:type="dxa" w:w="1800"/>
            <w:tcBorders>
              <w:top w:val="single" w:color="CCCCCC" w:sz="1"/>
              <w:left w:val="single" w:color="CCCCCC" w:sz="1"/>
              <w:bottom w:val="single" w:color="CCCCCC" w:sz="1"/>
              <w:right w:val="single" w:color="CCCCCC" w:sz="1"/>
            </w:tcBorders>
            <w:shd w:fill="FF8C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1"/>
                <w:szCs w:val="21"/>
              </w:rPr>
              <w:t xml:space="preserve">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1"/>
                <w:szCs w:val="21"/>
              </w:rPr>
              <w:t xml:space="preserve">Costs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Upgrade Vercel to Pro (required for commercial use)</w:t>
            </w:r>
          </w:p>
        </w:tc>
        <w:tc>
          <w:tcPr>
            <w:tcW w:type="dxa" w:w="1800"/>
            <w:tcBorders>
              <w:top w:val="single" w:color="CCCCCC" w:sz="1"/>
              <w:left w:val="single" w:color="CCCCCC" w:sz="1"/>
              <w:bottom w:val="single" w:color="CCCCCC" w:sz="1"/>
              <w:right w:val="single" w:color="CCCCCC" w:sz="1"/>
            </w:tcBorders>
            <w:shd w:fill="FF8C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1"/>
                <w:szCs w:val="21"/>
              </w:rPr>
              <w:t xml:space="preserve">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1"/>
                <w:szCs w:val="21"/>
              </w:rPr>
              <w:t xml:space="preserve">Registration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Clarify VAT status and update all pricing copy</w:t>
            </w:r>
          </w:p>
        </w:tc>
        <w:tc>
          <w:tcPr>
            <w:tcW w:type="dxa" w:w="1800"/>
            <w:tcBorders>
              <w:top w:val="single" w:color="CCCCCC" w:sz="1"/>
              <w:left w:val="single" w:color="CCCCCC" w:sz="1"/>
              <w:bottom w:val="single" w:color="CCCCCC" w:sz="1"/>
              <w:right w:val="single" w:color="CCCCCC" w:sz="1"/>
            </w:tcBorders>
            <w:shd w:fill="FF8C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1"/>
                <w:szCs w:val="21"/>
              </w:rPr>
              <w:t xml:space="preserve">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1"/>
                <w:szCs w:val="21"/>
              </w:rPr>
              <w:t xml:space="preserve">Marketing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Reframe 'AI-powered' with specific benefit language</w:t>
            </w:r>
          </w:p>
        </w:tc>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1"/>
                <w:szCs w:val="21"/>
              </w:rPr>
              <w:t xml:space="preserve">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1"/>
                <w:szCs w:val="21"/>
              </w:rPr>
              <w:t xml:space="preserve">Costs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Add revision limits to FAQ and Terms of Service</w:t>
            </w:r>
          </w:p>
        </w:tc>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1"/>
                <w:szCs w:val="21"/>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1"/>
                <w:szCs w:val="21"/>
              </w:rPr>
              <w:t xml:space="preserve">Costs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Build and offer a monthly maintenance/care package</w:t>
            </w:r>
          </w:p>
        </w:tc>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1"/>
                <w:szCs w:val="21"/>
              </w:rPr>
              <w:t xml:space="preserve">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1"/>
                <w:szCs w:val="21"/>
              </w:rPr>
              <w:t xml:space="preserve">Registration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Add data retention paragraph to Privacy Policy</w:t>
            </w:r>
          </w:p>
        </w:tc>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1"/>
                <w:szCs w:val="21"/>
              </w:rPr>
              <w:t xml:space="preserve">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1"/>
                <w:szCs w:val="21"/>
              </w:rPr>
              <w:t xml:space="preserve">Marketing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Choose one acquisition channel and commit for 90 days</w:t>
            </w:r>
          </w:p>
        </w:tc>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w:t>
            </w:r>
          </w:p>
        </w:tc>
      </w:tr>
    </w:tbl>
    <w:p>
      <w:r>
        <w:t xml:space="preserve"/>
      </w:r>
    </w:p>
    <w:p>
      <w:pPr>
        <w:pBdr>
          <w:bottom w:val="single" w:color="00B0D0" w:sz="4" w:space="1"/>
        </w:pBdr>
        <w:spacing w:after="160" w:before="160"/>
      </w:pPr>
    </w:p>
    <w:p>
      <w:pPr>
        <w:spacing w:after="60" w:before="120"/>
        <w:jc w:val="center"/>
      </w:pPr>
      <w:r>
        <w:rPr>
          <w:rFonts w:ascii="Arial" w:cs="Arial" w:eastAsia="Arial" w:hAnsi="Arial"/>
          <w:i/>
          <w:iCs/>
          <w:color w:val="888888"/>
          <w:sz w:val="18"/>
          <w:szCs w:val="18"/>
        </w:rPr>
        <w:t xml:space="preserve">Evolution Media  —  Internal Strategy Document  —  April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B0D0" w:sz="4" w:space="1"/>
      </w:pBdr>
      <w:spacing w:before="80"/>
    </w:pPr>
    <w:r>
      <w:rPr>
        <w:rFonts w:ascii="Arial" w:cs="Arial" w:eastAsia="Arial" w:hAnsi="Arial"/>
        <w:color w:val="888888"/>
        <w:sz w:val="17"/>
        <w:szCs w:val="17"/>
      </w:rPr>
      <w:t xml:space="preserve">CONFIDENTIAL  |  Evolution Media Internal Document  |  Page </w:t>
    </w:r>
    <w:r>
      <w:rPr>
        <w:rFonts w:ascii="Arial" w:cs="Arial" w:eastAsia="Arial" w:hAnsi="Arial"/>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0D0" w:sz="4" w:space="1"/>
      </w:pBdr>
      <w:spacing w:after="80"/>
      <w:jc w:val="right"/>
    </w:pPr>
    <w:r>
      <w:rPr>
        <w:rFonts w:ascii="Arial" w:cs="Arial" w:eastAsia="Arial" w:hAnsi="Arial"/>
        <w:color w:val="888888"/>
        <w:sz w:val="18"/>
        <w:szCs w:val="18"/>
      </w:rPr>
      <w:t xml:space="preserve">Evolution Media  |  </w:t>
    </w:r>
    <w:r>
      <w:rPr>
        <w:rFonts w:ascii="Arial" w:cs="Arial" w:eastAsia="Arial" w:hAnsi="Arial"/>
        <w:b/>
        <w:bCs/>
        <w:color w:val="1F4E79"/>
        <w:sz w:val="18"/>
        <w:szCs w:val="18"/>
      </w:rPr>
      <w:t xml:space="preserve">Strategic Risk Analysis</w:t>
    </w:r>
    <w:r>
      <w:rPr>
        <w:rFonts w:ascii="Arial" w:cs="Arial" w:eastAsia="Arial" w:hAnsi="Arial"/>
        <w:color w:val="888888"/>
        <w:sz w:val="18"/>
        <w:szCs w:val="18"/>
      </w:rPr>
      <w:t xml:space="preserve">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2026-04-07T21:05:42.712Z</dcterms:created>
  <dcterms:modified xsi:type="dcterms:W3CDTF">2026-04-07T21:05:42.714Z</dcterms:modified>
</cp:coreProperties>
</file>

<file path=docProps/custom.xml><?xml version="1.0" encoding="utf-8"?>
<Properties xmlns="http://schemas.openxmlformats.org/officeDocument/2006/custom-properties" xmlns:vt="http://schemas.openxmlformats.org/officeDocument/2006/docPropsVTypes"/>
</file>