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Arial" w:cs="Arial" w:eastAsia="Arial" w:hAnsi="Arial"/>
          <w:b/>
          <w:bCs/>
          <w:color w:val="1F5E5A"/>
          <w:sz w:val="20"/>
          <w:szCs w:val="20"/>
        </w:rPr>
        <w:t xml:space="preserve">GARANTIA DA QUALIDADE DE SOFTWARE · TRABALHO INTEGRADOR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E2A30"/>
          <w:sz w:val="72"/>
          <w:szCs w:val="72"/>
        </w:rPr>
        <w:t xml:space="preserve">Financy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F5E5A"/>
          <w:sz w:val="40"/>
          <w:szCs w:val="40"/>
        </w:rPr>
        <w:t xml:space="preserve">Sistema de Folha de Pagamento</w:t>
      </w:r>
    </w:p>
    <w:p>
      <w:pPr>
        <w:spacing w:after="1200"/>
      </w:pPr>
      <w:r>
        <w:rPr>
          <w:rFonts w:ascii="Arial" w:cs="Arial" w:eastAsia="Arial" w:hAnsi="Arial"/>
          <w:color w:val="5A6670"/>
          <w:sz w:val="28"/>
          <w:szCs w:val="28"/>
        </w:rPr>
        <w:t xml:space="preserve">Avaliação A1 · Planejamento, Modelagem e Garantia da Qualidade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72"/>
      </w:tblGrid>
      <w:tr>
        <w:trPr>
          <w:tblHeader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21"/>
                <w:szCs w:val="21"/>
              </w:rPr>
              <w:t xml:space="preserve">Campo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21"/>
                <w:szCs w:val="21"/>
              </w:rPr>
              <w:t xml:space="preserve">Informação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21"/>
                <w:szCs w:val="21"/>
              </w:rPr>
              <w:t xml:space="preserve">Projeto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21"/>
                <w:szCs w:val="21"/>
              </w:rPr>
              <w:t xml:space="preserve">Financy · Sistema de Folha de Pagamento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21"/>
                <w:szCs w:val="21"/>
              </w:rPr>
              <w:t xml:space="preserve">Equipe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21"/>
                <w:szCs w:val="21"/>
              </w:rPr>
              <w:t xml:space="preserve">Ana Clara S. F. Gomes</w:t>
            </w:r>
          </w:p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21"/>
                <w:szCs w:val="21"/>
              </w:rPr>
              <w:t xml:space="preserve">Iago Ferst Tubiana</w:t>
            </w:r>
          </w:p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21"/>
                <w:szCs w:val="21"/>
              </w:rPr>
              <w:t xml:space="preserve">João Vitor Rosiak de O. Baltezan</w:t>
            </w:r>
          </w:p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21"/>
                <w:szCs w:val="21"/>
              </w:rPr>
              <w:t xml:space="preserve">Mariana F. Hammel da Silva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21"/>
                <w:szCs w:val="21"/>
              </w:rPr>
              <w:t xml:space="preserve">Data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21"/>
                <w:szCs w:val="21"/>
              </w:rPr>
              <w:t xml:space="preserve">20/10/2026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21"/>
                <w:szCs w:val="21"/>
              </w:rPr>
              <w:t xml:space="preserve">Versão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21"/>
                <w:szCs w:val="21"/>
              </w:rPr>
              <w:t xml:space="preserve">1.0 · Entrega da A1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21"/>
                <w:szCs w:val="21"/>
              </w:rPr>
              <w:t xml:space="preserve">Repositório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21"/>
                <w:szCs w:val="21"/>
              </w:rPr>
              <w:t xml:space="preserve">github.com/johnrosik/folha-pagamento-gqs</w:t>
            </w:r>
          </w:p>
        </w:tc>
      </w:tr>
    </w:tbl>
    <w:p>
      <w:r>
        <w:br w:type="page"/>
      </w:r>
    </w:p>
    <w:p>
      <w:pPr>
        <w:spacing w:after="240"/>
      </w:pPr>
      <w:r>
        <w:rPr>
          <w:rFonts w:ascii="Arial" w:cs="Arial" w:eastAsia="Arial" w:hAnsi="Arial"/>
          <w:b/>
          <w:bCs/>
          <w:color w:val="1F5E5A"/>
          <w:sz w:val="34"/>
          <w:szCs w:val="34"/>
        </w:rPr>
        <w:t xml:space="preserve">Sumário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4"/>
          <w:szCs w:val="24"/>
        </w:rPr>
        <w:t xml:space="preserve">1. Documento de Visão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4"/>
          <w:szCs w:val="24"/>
        </w:rPr>
        <w:t xml:space="preserve">2. Especificação de Requisitos de Software (ERS)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4"/>
          <w:szCs w:val="24"/>
        </w:rPr>
        <w:t xml:space="preserve">3. Modelagem UML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4"/>
          <w:szCs w:val="24"/>
        </w:rPr>
        <w:t xml:space="preserve">4. Documento de Arquitetura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4"/>
          <w:szCs w:val="24"/>
        </w:rPr>
        <w:t xml:space="preserve">5. Plano de Garantia da Qualidade (PGQ)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4"/>
          <w:szCs w:val="24"/>
        </w:rPr>
        <w:t xml:space="preserve">6. Plano de Testes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4"/>
          <w:szCs w:val="24"/>
        </w:rPr>
        <w:t xml:space="preserve">7. Especificação de Casos de Teste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4"/>
          <w:szCs w:val="24"/>
        </w:rPr>
        <w:t xml:space="preserve">8. Planejamento do Projeto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4"/>
          <w:szCs w:val="24"/>
        </w:rPr>
        <w:t xml:space="preserve">9. Repositório do Projeto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4"/>
          <w:szCs w:val="24"/>
        </w:rPr>
        <w:t xml:space="preserve">Anexo · Ata de revisão técnica</w:t>
      </w:r>
    </w:p>
    <w:p>
      <w:pPr>
        <w:pStyle w:val="Heading1"/>
        <w:pageBreakBefore/>
        <w:spacing w:after="240"/>
      </w:pPr>
      <w:r>
        <w:rPr>
          <w:rFonts w:ascii="Arial" w:cs="Arial" w:eastAsia="Arial" w:hAnsi="Arial"/>
          <w:b/>
          <w:bCs/>
          <w:color w:val="1F5E5A"/>
          <w:sz w:val="34"/>
          <w:szCs w:val="34"/>
        </w:rPr>
        <w:t xml:space="preserve">1. Documento de Visão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1.1 Objetivo do sistema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Automatizar o processo de fechamento da folha de pagamento por meio de um sistema seguro que gerencia diferentes modelos de contratação (padrão, comissionado e produção). O software tem como objetivo eliminar o cálculo manual de remunerações e impostos, centralizando a emissão de demonstrativos individuais e relatórios gerenciais consolidados para otimizar a rotina administrativa.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1.2 Escopo do projeto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1E2A30"/>
          <w:sz w:val="22"/>
          <w:szCs w:val="22"/>
        </w:rPr>
        <w:t xml:space="preserve">Dentro do escopo: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cadastro de colaboradores dos três tipos: padrão (mensalista), comissionado e por produção;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consulta, alteração e exclusão de cadastros;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cálculo automático do salário bruto de cada tipo;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cálculo de INSS, IRRF e salário líquido, como funcionalidade extra além do pedido pelo cliente (RF010), com alíquotas simplificadas (ver Premissas);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folha de pagamento individual e resumo consolidado com o total geral da folha;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gravação dos dados em banco SQLite;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duas interfaces: menu de terminal e página web.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1E2A30"/>
          <w:sz w:val="22"/>
          <w:szCs w:val="22"/>
        </w:rPr>
        <w:t xml:space="preserve">Fora do escopo: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pagamento ou integração com bancos e com o eSocial;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férias, 13º salário, FGTS, horas extras, benefícios e rescisão;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histórico de folhas por mês;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controle de acesso com login e vários perfis de usuário;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tabelas oficiais progressivas de INSS e IRRF.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1.3 Partes interessadas (stakeholders)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136"/>
        <w:gridCol w:w="4136"/>
      </w:tblGrid>
      <w:tr>
        <w:trPr>
          <w:tblHeader/>
        </w:trPr>
        <w:tc>
          <w:tcPr>
            <w:tcW w:type="dxa" w:w="1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Stakeholder</w:t>
            </w:r>
          </w:p>
        </w:tc>
        <w:tc>
          <w:tcPr>
            <w:tcW w:type="dxa" w:w="313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Papel</w:t>
            </w:r>
          </w:p>
        </w:tc>
        <w:tc>
          <w:tcPr>
            <w:tcW w:type="dxa" w:w="413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Interesse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Cliente</w:t>
            </w:r>
          </w:p>
        </w:tc>
        <w:tc>
          <w:tcPr>
            <w:tcW w:type="dxa" w:w="313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Empresa que contrata o sistema</w:t>
            </w:r>
          </w:p>
        </w:tc>
        <w:tc>
          <w:tcPr>
            <w:tcW w:type="dxa" w:w="413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Folha calculada sem erro de conta e custo total da folha visível num só relatório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Usuário</w:t>
            </w:r>
          </w:p>
        </w:tc>
        <w:tc>
          <w:tcPr>
            <w:tcW w:type="dxa" w:w="313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Gestor da folha de pagamento, que opera o sistema</w:t>
            </w:r>
          </w:p>
        </w:tc>
        <w:tc>
          <w:tcPr>
            <w:tcW w:type="dxa" w:w="413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Cadastrar e manter colaboradores com rapidez e emitir folha e resumo sem cálculo manual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Equipe</w:t>
            </w:r>
          </w:p>
        </w:tc>
        <w:tc>
          <w:tcPr>
            <w:tcW w:type="dxa" w:w="313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Desenvolvimento, qualidade e documentação</w:t>
            </w:r>
          </w:p>
        </w:tc>
        <w:tc>
          <w:tcPr>
            <w:tcW w:type="dxa" w:w="413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Entregar o sistema e os artefatos com evidência de qualidade, nos prazos da A1 e da A3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Professor</w:t>
            </w:r>
          </w:p>
        </w:tc>
        <w:tc>
          <w:tcPr>
            <w:tcW w:type="dxa" w:w="313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Avaliador do trabalho</w:t>
            </w:r>
          </w:p>
        </w:tc>
        <w:tc>
          <w:tcPr>
            <w:tcW w:type="dxa" w:w="413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Conformidade com o enunciado e evidências objetivas de qualidade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1.4 Premissas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O cálculo de INSS e IRRF é simplificado, para fins acadêmicos: INSS de 10% sobre o salário bruto; IRRF de 7,5% sobre (bruto − INSS) quando essa base passa de R$ 2.259,20, e zero abaixo disso. Não são as tabelas oficiais de 2026.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O sistema calcula a folha de um único período por vez, sem guardar histórico de meses anteriores.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Há um único tipo de usuário, o gestor da folha, que usa o sistema na própria máquina.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Os dados informados pelo gestor (vendas, quantidade produzida, salário) são verdadeiros; o sistema valida apenas formato e as regras RN001 a RN008.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As máquinas da equipe e do avaliador têm Python 3.12 ou superior e um navegador atual.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1.5 Restrições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Prazos: entrega e apresentação da A1 em 20/10/2026, às 19h; entrega da A3 em 01/12/2026.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Equipe de quatro integrantes, com dedicação parcial.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Tecnologias gratuitas e de código aberto: Python, Flask, SQLite.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Execução local, sem servidor na internet.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Entrega organizada na estrutura de pastas 01 a 11 definida no enunciado.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1.6 Benefícios esperados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Fim do cálculo manual da folha e dos erros de conta que vêm dele.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Dados inválidos (valores negativos, nome vazio, matrícula repetida) são barrados antes de qualquer cálculo.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Visão consolidada do custo da folha, com o total geral em um só relatório.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Registros preservados entre um uso e outro do sistema.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Novos tipos de remuneração podem ser incluídos sem alterar os cálculos existentes (RNF004).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Rastreabilidade entre requisito, caso de teste e código, o que facilita a manutenção e a homologação.</w:t>
      </w:r>
    </w:p>
    <w:p>
      <w:pPr>
        <w:pStyle w:val="Heading1"/>
        <w:pageBreakBefore/>
        <w:spacing w:after="240"/>
      </w:pPr>
      <w:r>
        <w:rPr>
          <w:rFonts w:ascii="Arial" w:cs="Arial" w:eastAsia="Arial" w:hAnsi="Arial"/>
          <w:b/>
          <w:bCs/>
          <w:color w:val="1F5E5A"/>
          <w:sz w:val="34"/>
          <w:szCs w:val="34"/>
        </w:rPr>
        <w:t xml:space="preserve">2. Especificação de Requisitos de Software (ERS)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Requisitos do cliente para o Sistema de Folha de Pagamento, cada um com identificador próprio, usado na matriz de rastreabilidade e nos casos de teste.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2.1 Requisitos funcionais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72"/>
      </w:tblGrid>
      <w:tr>
        <w:trPr>
          <w:tblHeader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ID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Descrição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RF001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Cadastro de Colaborador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RF002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Cadastro de Colaborador Padrão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RF003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Cadastro de Colaborador Comissionado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RF004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Cadastro de Colaborador por Produção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RF005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Consulta de Colaboradores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RF006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Cálculo de Salário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RF007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Geração da Folha de Pagamento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RF008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Emissão de Resumo da Folha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RF009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Manutenção de Cadastros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RF010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Cálculo de descontos (INSS e IRRF) e do salário líquido (funcionalidade extra)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2.2 Regras de negócio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72"/>
      </w:tblGrid>
      <w:tr>
        <w:trPr>
          <w:tblHeader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ID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Descrição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RN001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Toda matrícula deverá ser única dentro do sistema.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RN002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nome do colaborador é obrigatório.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RN003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salário base não poderá ser negativo.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RN004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valor de vendas não poderá ser negativo.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RN005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percentual de comissão não poderá ser negativo.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RN006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A quantidade produzida não poderá ser negativa.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RN007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valor pago por unidade produzida não poderá ser negativo.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RN008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salário final deverá ser calculado automaticamente pelo sistema.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2.3 Requisitos não funcionais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72"/>
      </w:tblGrid>
      <w:tr>
        <w:trPr>
          <w:tblHeader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ID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Descrição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RNF001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sistema deverá possuir interface amigável e intuitiva.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RNF002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sistema deverá validar os dados de entrada antes de efetuar qualquer cálculo.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RNF003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sistema deverá armazenar os registros de colaboradores de forma persistente.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RNF004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sistema deverá permitir futura inclusão de novos tipos de remuneração sem necessidade de alterar os cálculos já existentes.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2.4 Critérios de aceitação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72"/>
      </w:tblGrid>
      <w:tr>
        <w:trPr>
          <w:tblHeader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Requisito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Critério de aceitação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RF001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sistema permite cadastrar os três tipos de colaborador (padrão, comissionado e por produção), com matrícula única e nome obrigatório.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RF002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sistema cadastra o colaborador padrão com salário base maior ou igual a zero; o salário bruto é o próprio salário base.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RF003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sistema cadastra o comissionado com salário base, vendas e percentual de comissão, nenhum negativo; bruto = salário base + vendas × comissão ÷ 100.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RF004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sistema cadastra o colaborador por produção com quantidade produzida e valor por unidade, nenhum negativo; bruto = quantidade × valor por unidade.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RF005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sistema consulta o colaborador pela matrícula e informa quando nenhum colaborador é encontrado.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RF006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sistema calcula o salário bruto conforme o tipo de remuneração, sem cálculo manual (RN008).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RF007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sistema gera a folha individual de um colaborador, com salário bruto, descontos e salário líquido.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RF008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sistema apresenta o resumo consolidado com todos os colaboradores e o total geral da folha.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RF009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sistema permite alterar e excluir cadastros, e a mudança continua gravada depois de fechar e abrir o sistema.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RF010</w:t>
            </w:r>
          </w:p>
        </w:tc>
        <w:tc>
          <w:tcPr>
            <w:tcW w:type="dxa" w:w="7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INSS = 10% do bruto; IRRF = 7,5% sobre (bruto − INSS) quando essa base passa de R$ 2.259,20; líquido = bruto − INSS − IRRF.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2.5 Matriz de rastreabilidade dos requisitos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Status possíveis: Não iniciado, Em andamento, Aprovado, Reprovado. Na A1 nenhum teste foi executado; o status muda na A3, quando cada caso de teste for executado.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"/>
        <w:gridCol w:w="2500"/>
        <w:gridCol w:w="2050"/>
        <w:gridCol w:w="2272"/>
        <w:gridCol w:w="1200"/>
      </w:tblGrid>
      <w:tr>
        <w:trPr>
          <w:tblHeader/>
        </w:trPr>
        <w:tc>
          <w:tcPr>
            <w:tcW w:type="dxa" w:w="1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Requisito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2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Regras associadas</w:t>
            </w:r>
          </w:p>
        </w:tc>
        <w:tc>
          <w:tcPr>
            <w:tcW w:type="dxa" w:w="22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Casos de teste</w:t>
            </w:r>
          </w:p>
        </w:tc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Status</w:t>
            </w:r>
          </w:p>
        </w:tc>
      </w:tr>
      <w:tr>
        <w:trPr>
          <w:tblHeader w:val="off"/>
        </w:trPr>
        <w:tc>
          <w:tcPr>
            <w:tcW w:type="dxa" w:w="1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RF001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Cadastro de colaborador</w:t>
            </w:r>
          </w:p>
        </w:tc>
        <w:tc>
          <w:tcPr>
            <w:tcW w:type="dxa" w:w="2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RN001, RN002</w:t>
            </w:r>
          </w:p>
        </w:tc>
        <w:tc>
          <w:tcPr>
            <w:tcW w:type="dxa" w:w="22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CT001, CT010, CT011</w:t>
            </w:r>
          </w:p>
        </w:tc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Não iniciado</w:t>
            </w:r>
          </w:p>
        </w:tc>
      </w:tr>
      <w:tr>
        <w:trPr>
          <w:tblHeader w:val="off"/>
        </w:trPr>
        <w:tc>
          <w:tcPr>
            <w:tcW w:type="dxa" w:w="1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RF002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Colaborador padrão</w:t>
            </w:r>
          </w:p>
        </w:tc>
        <w:tc>
          <w:tcPr>
            <w:tcW w:type="dxa" w:w="2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RN003, RN008</w:t>
            </w:r>
          </w:p>
        </w:tc>
        <w:tc>
          <w:tcPr>
            <w:tcW w:type="dxa" w:w="22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CT002, CT012</w:t>
            </w:r>
          </w:p>
        </w:tc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Não iniciado</w:t>
            </w:r>
          </w:p>
        </w:tc>
      </w:tr>
      <w:tr>
        <w:trPr>
          <w:tblHeader w:val="off"/>
        </w:trPr>
        <w:tc>
          <w:tcPr>
            <w:tcW w:type="dxa" w:w="1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RF003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Colaborador comissionado</w:t>
            </w:r>
          </w:p>
        </w:tc>
        <w:tc>
          <w:tcPr>
            <w:tcW w:type="dxa" w:w="2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RN003, RN004, RN005, RN008</w:t>
            </w:r>
          </w:p>
        </w:tc>
        <w:tc>
          <w:tcPr>
            <w:tcW w:type="dxa" w:w="22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CT003, CT013, CT014, CT017</w:t>
            </w:r>
          </w:p>
        </w:tc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Não iniciado</w:t>
            </w:r>
          </w:p>
        </w:tc>
      </w:tr>
      <w:tr>
        <w:trPr>
          <w:tblHeader w:val="off"/>
        </w:trPr>
        <w:tc>
          <w:tcPr>
            <w:tcW w:type="dxa" w:w="1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RF004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Colaborador por produção</w:t>
            </w:r>
          </w:p>
        </w:tc>
        <w:tc>
          <w:tcPr>
            <w:tcW w:type="dxa" w:w="2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RN006, RN007, RN008</w:t>
            </w:r>
          </w:p>
        </w:tc>
        <w:tc>
          <w:tcPr>
            <w:tcW w:type="dxa" w:w="22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CT004, CT015, CT016, CT018</w:t>
            </w:r>
          </w:p>
        </w:tc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Não iniciado</w:t>
            </w:r>
          </w:p>
        </w:tc>
      </w:tr>
      <w:tr>
        <w:trPr>
          <w:tblHeader w:val="off"/>
        </w:trPr>
        <w:tc>
          <w:tcPr>
            <w:tcW w:type="dxa" w:w="1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RF005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Consulta de colaboradores</w:t>
            </w:r>
          </w:p>
        </w:tc>
        <w:tc>
          <w:tcPr>
            <w:tcW w:type="dxa" w:w="2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RN001</w:t>
            </w:r>
          </w:p>
        </w:tc>
        <w:tc>
          <w:tcPr>
            <w:tcW w:type="dxa" w:w="22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CT005</w:t>
            </w:r>
          </w:p>
        </w:tc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Não iniciado</w:t>
            </w:r>
          </w:p>
        </w:tc>
      </w:tr>
      <w:tr>
        <w:trPr>
          <w:tblHeader w:val="off"/>
        </w:trPr>
        <w:tc>
          <w:tcPr>
            <w:tcW w:type="dxa" w:w="1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RF006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Cálculo de salário</w:t>
            </w:r>
          </w:p>
        </w:tc>
        <w:tc>
          <w:tcPr>
            <w:tcW w:type="dxa" w:w="2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RN003 a RN008</w:t>
            </w:r>
          </w:p>
        </w:tc>
        <w:tc>
          <w:tcPr>
            <w:tcW w:type="dxa" w:w="22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CT006, CT017, CT018</w:t>
            </w:r>
          </w:p>
        </w:tc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Não iniciado</w:t>
            </w:r>
          </w:p>
        </w:tc>
      </w:tr>
      <w:tr>
        <w:trPr>
          <w:tblHeader w:val="off"/>
        </w:trPr>
        <w:tc>
          <w:tcPr>
            <w:tcW w:type="dxa" w:w="1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RF007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Folha de pagamento individual</w:t>
            </w:r>
          </w:p>
        </w:tc>
        <w:tc>
          <w:tcPr>
            <w:tcW w:type="dxa" w:w="2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RN008</w:t>
            </w:r>
          </w:p>
        </w:tc>
        <w:tc>
          <w:tcPr>
            <w:tcW w:type="dxa" w:w="22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CT007</w:t>
            </w:r>
          </w:p>
        </w:tc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Não iniciado</w:t>
            </w:r>
          </w:p>
        </w:tc>
      </w:tr>
      <w:tr>
        <w:trPr>
          <w:tblHeader w:val="off"/>
        </w:trPr>
        <w:tc>
          <w:tcPr>
            <w:tcW w:type="dxa" w:w="1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RF008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Resumo da folha</w:t>
            </w:r>
          </w:p>
        </w:tc>
        <w:tc>
          <w:tcPr>
            <w:tcW w:type="dxa" w:w="2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RN008</w:t>
            </w:r>
          </w:p>
        </w:tc>
        <w:tc>
          <w:tcPr>
            <w:tcW w:type="dxa" w:w="22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CT008, CT019</w:t>
            </w:r>
          </w:p>
        </w:tc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Não iniciado</w:t>
            </w:r>
          </w:p>
        </w:tc>
      </w:tr>
      <w:tr>
        <w:trPr>
          <w:tblHeader w:val="off"/>
        </w:trPr>
        <w:tc>
          <w:tcPr>
            <w:tcW w:type="dxa" w:w="1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RF009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Manutenção de cadastros</w:t>
            </w:r>
          </w:p>
        </w:tc>
        <w:tc>
          <w:tcPr>
            <w:tcW w:type="dxa" w:w="2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RN001, RN002</w:t>
            </w:r>
          </w:p>
        </w:tc>
        <w:tc>
          <w:tcPr>
            <w:tcW w:type="dxa" w:w="22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CT009</w:t>
            </w:r>
          </w:p>
        </w:tc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Não iniciado</w:t>
            </w:r>
          </w:p>
        </w:tc>
      </w:tr>
      <w:tr>
        <w:trPr>
          <w:tblHeader w:val="off"/>
        </w:trPr>
        <w:tc>
          <w:tcPr>
            <w:tcW w:type="dxa" w:w="1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RF010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Descontos e salário líquido</w:t>
            </w:r>
          </w:p>
        </w:tc>
        <w:tc>
          <w:tcPr>
            <w:tcW w:type="dxa" w:w="2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RN008</w:t>
            </w:r>
          </w:p>
        </w:tc>
        <w:tc>
          <w:tcPr>
            <w:tcW w:type="dxa" w:w="22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CT017, CT018, CT019</w:t>
            </w:r>
          </w:p>
        </w:tc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Não iniciado</w:t>
            </w:r>
          </w:p>
        </w:tc>
      </w:tr>
      <w:tr>
        <w:trPr>
          <w:tblHeader w:val="off"/>
        </w:trPr>
        <w:tc>
          <w:tcPr>
            <w:tcW w:type="dxa" w:w="1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RNF003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Persistência</w:t>
            </w:r>
          </w:p>
        </w:tc>
        <w:tc>
          <w:tcPr>
            <w:tcW w:type="dxa" w:w="20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—</w:t>
            </w:r>
          </w:p>
        </w:tc>
        <w:tc>
          <w:tcPr>
            <w:tcW w:type="dxa" w:w="22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CT020</w:t>
            </w:r>
          </w:p>
        </w:tc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Não iniciado</w:t>
            </w:r>
          </w:p>
        </w:tc>
      </w:tr>
    </w:tbl>
    <w:p>
      <w:pPr>
        <w:pStyle w:val="Heading1"/>
        <w:pageBreakBefore/>
        <w:spacing w:after="240"/>
      </w:pPr>
      <w:r>
        <w:rPr>
          <w:rFonts w:ascii="Arial" w:cs="Arial" w:eastAsia="Arial" w:hAnsi="Arial"/>
          <w:b/>
          <w:bCs/>
          <w:color w:val="1F5E5A"/>
          <w:sz w:val="34"/>
          <w:szCs w:val="34"/>
        </w:rPr>
        <w:t xml:space="preserve">3. Modelagem UML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Diagramas escritos em PlantUML; o código-fonte de cada um está na pasta 02_Analise do repositório.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3.1 Diagrama de casos de uso</w:t>
      </w:r>
    </w:p>
    <w:p>
      <w:pPr>
        <w:spacing w:before="120"/>
        <w:jc w:val="center"/>
      </w:pPr>
      <w:r>
        <w:drawing>
          <wp:inline distT="0" distB="0" distL="0" distR="0">
            <wp:extent cx="3810000" cy="52863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52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rFonts w:ascii="Arial" w:cs="Arial" w:eastAsia="Arial" w:hAnsi="Arial"/>
          <w:i/>
          <w:iCs/>
          <w:color w:val="5A6670"/>
          <w:sz w:val="18"/>
          <w:szCs w:val="18"/>
        </w:rPr>
        <w:t xml:space="preserve">Figura 1 · Casos de uso do Usuário/Gestor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2900"/>
        <w:gridCol w:w="1700"/>
        <w:gridCol w:w="3372"/>
      </w:tblGrid>
      <w:tr>
        <w:trPr>
          <w:tblHeader/>
        </w:trPr>
        <w:tc>
          <w:tcPr>
            <w:tcW w:type="dxa" w:w="11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Código</w:t>
            </w:r>
          </w:p>
        </w:tc>
        <w:tc>
          <w:tcPr>
            <w:tcW w:type="dxa" w:w="2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17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Ator</w:t>
            </w:r>
          </w:p>
        </w:tc>
        <w:tc>
          <w:tcPr>
            <w:tcW w:type="dxa" w:w="33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Objetivo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UC01</w:t>
            </w:r>
          </w:p>
        </w:tc>
        <w:tc>
          <w:tcPr>
            <w:tcW w:type="dxa" w:w="2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Cadastrar colaborador</w:t>
            </w:r>
          </w:p>
        </w:tc>
        <w:tc>
          <w:tcPr>
            <w:tcW w:type="dxa" w:w="17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Usuário/Gestor</w:t>
            </w:r>
          </w:p>
        </w:tc>
        <w:tc>
          <w:tcPr>
            <w:tcW w:type="dxa" w:w="33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Registrar colaborador padrão, comissionado ou por produção (RF001 a RF004)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UC02</w:t>
            </w:r>
          </w:p>
        </w:tc>
        <w:tc>
          <w:tcPr>
            <w:tcW w:type="dxa" w:w="2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Consultar colaboradores</w:t>
            </w:r>
          </w:p>
        </w:tc>
        <w:tc>
          <w:tcPr>
            <w:tcW w:type="dxa" w:w="17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Usuário/Gestor</w:t>
            </w:r>
          </w:p>
        </w:tc>
        <w:tc>
          <w:tcPr>
            <w:tcW w:type="dxa" w:w="33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Localizar um colaborador pela matrícula (RF005)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UC03</w:t>
            </w:r>
          </w:p>
        </w:tc>
        <w:tc>
          <w:tcPr>
            <w:tcW w:type="dxa" w:w="2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Atualizar cadastro</w:t>
            </w:r>
          </w:p>
        </w:tc>
        <w:tc>
          <w:tcPr>
            <w:tcW w:type="dxa" w:w="17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Usuário/Gestor</w:t>
            </w:r>
          </w:p>
        </w:tc>
        <w:tc>
          <w:tcPr>
            <w:tcW w:type="dxa" w:w="33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Alterar os dados de um colaborador (RF009)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UC04</w:t>
            </w:r>
          </w:p>
        </w:tc>
        <w:tc>
          <w:tcPr>
            <w:tcW w:type="dxa" w:w="2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Excluir cadastro</w:t>
            </w:r>
          </w:p>
        </w:tc>
        <w:tc>
          <w:tcPr>
            <w:tcW w:type="dxa" w:w="17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Usuário/Gestor</w:t>
            </w:r>
          </w:p>
        </w:tc>
        <w:tc>
          <w:tcPr>
            <w:tcW w:type="dxa" w:w="33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Remover um colaborador (RF009)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UC05</w:t>
            </w:r>
          </w:p>
        </w:tc>
        <w:tc>
          <w:tcPr>
            <w:tcW w:type="dxa" w:w="2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Calcular salário</w:t>
            </w:r>
          </w:p>
        </w:tc>
        <w:tc>
          <w:tcPr>
            <w:tcW w:type="dxa" w:w="17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Usuário/Gestor</w:t>
            </w:r>
          </w:p>
        </w:tc>
        <w:tc>
          <w:tcPr>
            <w:tcW w:type="dxa" w:w="33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Obter o salário bruto, os descontos e o líquido (RF006, RF010)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UC06</w:t>
            </w:r>
          </w:p>
        </w:tc>
        <w:tc>
          <w:tcPr>
            <w:tcW w:type="dxa" w:w="2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Gerar folha de pagamento</w:t>
            </w:r>
          </w:p>
        </w:tc>
        <w:tc>
          <w:tcPr>
            <w:tcW w:type="dxa" w:w="17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Usuário/Gestor</w:t>
            </w:r>
          </w:p>
        </w:tc>
        <w:tc>
          <w:tcPr>
            <w:tcW w:type="dxa" w:w="33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Emitir a folha individual de um colaborador (RF007)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UC07</w:t>
            </w:r>
          </w:p>
        </w:tc>
        <w:tc>
          <w:tcPr>
            <w:tcW w:type="dxa" w:w="2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Emitir resumo da folha</w:t>
            </w:r>
          </w:p>
        </w:tc>
        <w:tc>
          <w:tcPr>
            <w:tcW w:type="dxa" w:w="17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Usuário/Gestor</w:t>
            </w:r>
          </w:p>
        </w:tc>
        <w:tc>
          <w:tcPr>
            <w:tcW w:type="dxa" w:w="33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Emitir o resumo consolidado com o total geral (RF008)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3.2 Diagrama de classes</w:t>
      </w:r>
    </w:p>
    <w:p>
      <w:pPr>
        <w:spacing w:before="120"/>
        <w:jc w:val="center"/>
      </w:pPr>
      <w:r>
        <w:drawing>
          <wp:inline distT="0" distB="0" distL="0" distR="0">
            <wp:extent cx="4476750" cy="37719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rFonts w:ascii="Arial" w:cs="Arial" w:eastAsia="Arial" w:hAnsi="Arial"/>
          <w:i/>
          <w:iCs/>
          <w:color w:val="5A6670"/>
          <w:sz w:val="18"/>
          <w:szCs w:val="18"/>
        </w:rPr>
        <w:t xml:space="preserve">Figura 2 · Colaborador é abstrata; cada subclasse implementa o próprio cálculo do salário bruto (RNF004)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3.3 Diagrama de sequência</w:t>
      </w:r>
    </w:p>
    <w:p>
      <w:pPr>
        <w:spacing w:before="120"/>
        <w:jc w:val="center"/>
      </w:pPr>
      <w:r>
        <w:drawing>
          <wp:inline distT="0" distB="0" distL="0" distR="0">
            <wp:extent cx="5143500" cy="54006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rFonts w:ascii="Arial" w:cs="Arial" w:eastAsia="Arial" w:hAnsi="Arial"/>
          <w:i/>
          <w:iCs/>
          <w:color w:val="5A6670"/>
          <w:sz w:val="18"/>
          <w:szCs w:val="18"/>
        </w:rPr>
        <w:t xml:space="preserve">Figura 3 · Cadastro com validação e emissão do resumo consolidado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3.4 Diagrama de atividades</w:t>
      </w:r>
    </w:p>
    <w:p>
      <w:pPr>
        <w:spacing w:before="120"/>
        <w:jc w:val="center"/>
      </w:pPr>
      <w:r>
        <w:drawing>
          <wp:inline distT="0" distB="0" distL="0" distR="0">
            <wp:extent cx="5334000" cy="513397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rFonts w:ascii="Arial" w:cs="Arial" w:eastAsia="Arial" w:hAnsi="Arial"/>
          <w:i/>
          <w:iCs/>
          <w:color w:val="5A6670"/>
          <w:sz w:val="18"/>
          <w:szCs w:val="18"/>
        </w:rPr>
        <w:t xml:space="preserve">Figura 4 · Fluxo do cálculo da folha, do cadastro ao resumo</w:t>
      </w:r>
    </w:p>
    <w:p>
      <w:pPr>
        <w:pStyle w:val="Heading1"/>
        <w:pageBreakBefore/>
        <w:spacing w:after="240"/>
      </w:pPr>
      <w:r>
        <w:rPr>
          <w:rFonts w:ascii="Arial" w:cs="Arial" w:eastAsia="Arial" w:hAnsi="Arial"/>
          <w:b/>
          <w:bCs/>
          <w:color w:val="1F5E5A"/>
          <w:sz w:val="34"/>
          <w:szCs w:val="34"/>
        </w:rPr>
        <w:t xml:space="preserve">4. Documento de Arquitetura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4.1 Arquitetura adotada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O sistema adota uma arquitetura em camadas, em que cada camada só conhece a camada imediatamente abaixo dela: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500"/>
        <w:gridCol w:w="3672"/>
      </w:tblGrid>
      <w:tr>
        <w:trPr>
          <w:tblHeader/>
        </w:trPr>
        <w:tc>
          <w:tcPr>
            <w:tcW w:type="dxa" w:w="1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Camada</w:t>
            </w:r>
          </w:p>
        </w:tc>
        <w:tc>
          <w:tcPr>
            <w:tcW w:type="dxa" w:w="3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Responsabilidade</w:t>
            </w:r>
          </w:p>
        </w:tc>
        <w:tc>
          <w:tcPr>
            <w:tcW w:type="dxa" w:w="3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Componentes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Apresentação</w:t>
            </w:r>
          </w:p>
        </w:tc>
        <w:tc>
          <w:tcPr>
            <w:tcW w:type="dxa" w:w="3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Receber os dados do usuário e exibir resultados</w:t>
            </w:r>
          </w:p>
        </w:tc>
        <w:tc>
          <w:tcPr>
            <w:tcW w:type="dxa" w:w="3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Menu de terminal (CLI) e página web (index.html)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Aplicação</w:t>
            </w:r>
          </w:p>
        </w:tc>
        <w:tc>
          <w:tcPr>
            <w:tcW w:type="dxa" w:w="3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Expor e orquestrar os casos de uso: cadastrar, consultar, alterar, excluir, gerar folha individual e resumo consolidado</w:t>
            </w:r>
          </w:p>
        </w:tc>
        <w:tc>
          <w:tcPr>
            <w:tcW w:type="dxa" w:w="3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SistemaFolha e API REST em Flask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Domínio</w:t>
            </w:r>
          </w:p>
        </w:tc>
        <w:tc>
          <w:tcPr>
            <w:tcW w:type="dxa" w:w="3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Regras de negócio (RN001 a RN008) e cálculo da remuneração</w:t>
            </w:r>
          </w:p>
        </w:tc>
        <w:tc>
          <w:tcPr>
            <w:tcW w:type="dxa" w:w="3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Colaborador (abstrata), ColaboradorPadrao, ColaboradorComissionado, ColaboradorProducao, ValidacaoError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Persistência</w:t>
            </w:r>
          </w:p>
        </w:tc>
        <w:tc>
          <w:tcPr>
            <w:tcW w:type="dxa" w:w="3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Gravar e restaurar os colaboradores</w:t>
            </w:r>
          </w:p>
        </w:tc>
        <w:tc>
          <w:tcPr>
            <w:tcW w:type="dxa" w:w="36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Repositório SQLite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As duas interfaces usam o mesmo SistemaFolha, então uma regra de negócio é implementada uma única vez e vale para o terminal e para a web. A camada de domínio não conhece banco de dados nem interface, o que permite testá-la isoladamente.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A extensibilidade exigida pelo RNF004 vem do princípio aberto/fechado: um novo tipo de remuneração é uma nova subclasse de Colaborador que implementa calcular_salario_bruto(), sem alterar os cálculos existentes.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Situação do código herdado do T1: o domínio e o menu de terminal existem; a página web já chama a API em http://127.0.0.1:5000/api/colaboradores, mas o servidor Flask ainda não existe; a persistência atual é em arquivo JSON e passa para SQLite na A3.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4.2 Tecnologias selecionadas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72"/>
      </w:tblGrid>
      <w:tr>
        <w:trPr>
          <w:tblHeader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Camada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Tecnologia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Front-end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HTML5, CSS e JavaScript (Fetch API), sem framework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Back-end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Python 3.12 ou superior, Flask 3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Banco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SQLite 3, pelo módulo sqlite3 da biblioteca padrão do Python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Testes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pytest, pytest-cov e o cliente de testes do Flask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Qualidade de código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ruff (verificação de estilo e formatação)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Versionamento e gestão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Git, GitHub (Issues e Projects)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Modelagem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PlantUML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4.3 Justificativas técnicas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color w:val="1E2A30"/>
          <w:sz w:val="22"/>
          <w:szCs w:val="22"/>
        </w:rPr>
        <w:t xml:space="preserve">Python: </w:t>
      </w:r>
      <w:r>
        <w:rPr>
          <w:rFonts w:ascii="Arial" w:cs="Arial" w:eastAsia="Arial" w:hAnsi="Arial"/>
          <w:b w:val="false"/>
          <w:bCs w:val="false"/>
          <w:color w:val="1E2A30"/>
          <w:sz w:val="22"/>
          <w:szCs w:val="22"/>
        </w:rPr>
        <w:t xml:space="preserve">a equipe já domina a linguagem, o T1 foi escrito nela e a orientação a objetos com classes abstratas (abc) representa bem a hierarquia de colaboradores.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color w:val="1E2A30"/>
          <w:sz w:val="22"/>
          <w:szCs w:val="22"/>
        </w:rPr>
        <w:t xml:space="preserve">Flask: </w:t>
      </w:r>
      <w:r>
        <w:rPr>
          <w:rFonts w:ascii="Arial" w:cs="Arial" w:eastAsia="Arial" w:hAnsi="Arial"/>
          <w:b w:val="false"/>
          <w:bCs w:val="false"/>
          <w:color w:val="1E2A30"/>
          <w:sz w:val="22"/>
          <w:szCs w:val="22"/>
        </w:rPr>
        <w:t xml:space="preserve">a API precisa de poucas rotas. Um microframework atende com pouco código e tem cliente de testes próprio, usado nos testes de integração.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color w:val="1E2A30"/>
          <w:sz w:val="22"/>
          <w:szCs w:val="22"/>
        </w:rPr>
        <w:t xml:space="preserve">SQLite: </w:t>
      </w:r>
      <w:r>
        <w:rPr>
          <w:rFonts w:ascii="Arial" w:cs="Arial" w:eastAsia="Arial" w:hAnsi="Arial"/>
          <w:b w:val="false"/>
          <w:bCs w:val="false"/>
          <w:color w:val="1E2A30"/>
          <w:sz w:val="22"/>
          <w:szCs w:val="22"/>
        </w:rPr>
        <w:t xml:space="preserve">já vem com o Python, não exige servidor nem instalação na máquina de quem corrige, guarda tudo num arquivo só e aceita SQL padrão, o que permite versionar o script de criação do banco na pasta 06_Banco_Dados.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color w:val="1E2A30"/>
          <w:sz w:val="22"/>
          <w:szCs w:val="22"/>
        </w:rPr>
        <w:t xml:space="preserve">HTML e JavaScript sem framework: </w:t>
      </w:r>
      <w:r>
        <w:rPr>
          <w:rFonts w:ascii="Arial" w:cs="Arial" w:eastAsia="Arial" w:hAnsi="Arial"/>
          <w:b w:val="false"/>
          <w:bCs w:val="false"/>
          <w:color w:val="1E2A30"/>
          <w:sz w:val="22"/>
          <w:szCs w:val="22"/>
        </w:rPr>
        <w:t xml:space="preserve">a página roda direto no navegador, sem etapa de compilação.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color w:val="1E2A30"/>
          <w:sz w:val="22"/>
          <w:szCs w:val="22"/>
        </w:rPr>
        <w:t xml:space="preserve">pytest e pytest-cov: </w:t>
      </w:r>
      <w:r>
        <w:rPr>
          <w:rFonts w:ascii="Arial" w:cs="Arial" w:eastAsia="Arial" w:hAnsi="Arial"/>
          <w:b w:val="false"/>
          <w:bCs w:val="false"/>
          <w:color w:val="1E2A30"/>
          <w:sz w:val="22"/>
          <w:szCs w:val="22"/>
        </w:rPr>
        <w:t xml:space="preserve">padrão de mercado em Python, com fixtures para isolar cada teste e relatório de cobertura para medir a meta de 80%.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color w:val="1E2A30"/>
          <w:sz w:val="22"/>
          <w:szCs w:val="22"/>
        </w:rPr>
        <w:t xml:space="preserve">GitHub Issues e Projects: </w:t>
      </w:r>
      <w:r>
        <w:rPr>
          <w:rFonts w:ascii="Arial" w:cs="Arial" w:eastAsia="Arial" w:hAnsi="Arial"/>
          <w:b w:val="false"/>
          <w:bCs w:val="false"/>
          <w:color w:val="1E2A30"/>
          <w:sz w:val="22"/>
          <w:szCs w:val="22"/>
        </w:rPr>
        <w:t xml:space="preserve">concentram tarefas, defeitos e cronograma no mesmo lugar do código, o que dá rastreabilidade entre requisito, issue, commit e Pull Request.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4.4 Organização dos componentes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Estrutura prevista para 05_Codigo_Fonte na A3: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4300"/>
        <w:gridCol w:w="2472"/>
      </w:tblGrid>
      <w:tr>
        <w:trPr>
          <w:tblHeader/>
        </w:trPr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Arquivo</w:t>
            </w:r>
          </w:p>
        </w:tc>
        <w:tc>
          <w:tcPr>
            <w:tcW w:type="dxa" w:w="4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Conteúdo</w:t>
            </w:r>
          </w:p>
        </w:tc>
        <w:tc>
          <w:tcPr>
            <w:tcW w:type="dxa" w:w="2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Depende de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dominio.py</w:t>
            </w:r>
          </w:p>
        </w:tc>
        <w:tc>
          <w:tcPr>
            <w:tcW w:type="dxa" w:w="4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Colaborador, subclasses, ValidacaoError, cálculos</w:t>
            </w:r>
          </w:p>
        </w:tc>
        <w:tc>
          <w:tcPr>
            <w:tcW w:type="dxa" w:w="2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nada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repositorio.py</w:t>
            </w:r>
          </w:p>
        </w:tc>
        <w:tc>
          <w:tcPr>
            <w:tcW w:type="dxa" w:w="4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Gravação, leitura e exclusão no SQLite</w:t>
            </w:r>
          </w:p>
        </w:tc>
        <w:tc>
          <w:tcPr>
            <w:tcW w:type="dxa" w:w="2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dominio.py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sistema.py</w:t>
            </w:r>
          </w:p>
        </w:tc>
        <w:tc>
          <w:tcPr>
            <w:tcW w:type="dxa" w:w="4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SistemaFolha: casos de uso, folha individual e resumo consolidado</w:t>
            </w:r>
          </w:p>
        </w:tc>
        <w:tc>
          <w:tcPr>
            <w:tcW w:type="dxa" w:w="2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dominio.py, repositorio.py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cli.py</w:t>
            </w:r>
          </w:p>
        </w:tc>
        <w:tc>
          <w:tcPr>
            <w:tcW w:type="dxa" w:w="4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Menu de terminal</w:t>
            </w:r>
          </w:p>
        </w:tc>
        <w:tc>
          <w:tcPr>
            <w:tcW w:type="dxa" w:w="2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sistema.py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api.py</w:t>
            </w:r>
          </w:p>
        </w:tc>
        <w:tc>
          <w:tcPr>
            <w:tcW w:type="dxa" w:w="4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Rotas Flask</w:t>
            </w:r>
          </w:p>
        </w:tc>
        <w:tc>
          <w:tcPr>
            <w:tcW w:type="dxa" w:w="2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sistema.py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web/index.html</w:t>
            </w:r>
          </w:p>
        </w:tc>
        <w:tc>
          <w:tcPr>
            <w:tcW w:type="dxa" w:w="4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Página web</w:t>
            </w:r>
          </w:p>
        </w:tc>
        <w:tc>
          <w:tcPr>
            <w:tcW w:type="dxa" w:w="2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api.py (via HTTP)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Rotas da API: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5072"/>
      </w:tblGrid>
      <w:tr>
        <w:trPr>
          <w:tblHeader/>
        </w:trPr>
        <w:tc>
          <w:tcPr>
            <w:tcW w:type="dxa" w:w="40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Método e rota</w:t>
            </w:r>
          </w:p>
        </w:tc>
        <w:tc>
          <w:tcPr>
            <w:tcW w:type="dxa" w:w="5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Caso de uso</w:t>
            </w:r>
          </w:p>
        </w:tc>
      </w:tr>
      <w:tr>
        <w:trPr>
          <w:tblHeader w:val="off"/>
        </w:trPr>
        <w:tc>
          <w:tcPr>
            <w:tcW w:type="dxa" w:w="40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GET /api/colaboradores</w:t>
            </w:r>
          </w:p>
        </w:tc>
        <w:tc>
          <w:tcPr>
            <w:tcW w:type="dxa" w:w="5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Consultar colaboradores e resumo (RF005, RF008)</w:t>
            </w:r>
          </w:p>
        </w:tc>
      </w:tr>
      <w:tr>
        <w:trPr>
          <w:tblHeader w:val="off"/>
        </w:trPr>
        <w:tc>
          <w:tcPr>
            <w:tcW w:type="dxa" w:w="40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GET /api/colaboradores/&lt;matricula&gt;</w:t>
            </w:r>
          </w:p>
        </w:tc>
        <w:tc>
          <w:tcPr>
            <w:tcW w:type="dxa" w:w="5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Folha individual (RF006, RF007)</w:t>
            </w:r>
          </w:p>
        </w:tc>
      </w:tr>
      <w:tr>
        <w:trPr>
          <w:tblHeader w:val="off"/>
        </w:trPr>
        <w:tc>
          <w:tcPr>
            <w:tcW w:type="dxa" w:w="40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POST /api/colaboradores</w:t>
            </w:r>
          </w:p>
        </w:tc>
        <w:tc>
          <w:tcPr>
            <w:tcW w:type="dxa" w:w="5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Cadastrar (RF001 a RF004)</w:t>
            </w:r>
          </w:p>
        </w:tc>
      </w:tr>
      <w:tr>
        <w:trPr>
          <w:tblHeader w:val="off"/>
        </w:trPr>
        <w:tc>
          <w:tcPr>
            <w:tcW w:type="dxa" w:w="40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PUT /api/colaboradores/&lt;matricula&gt;</w:t>
            </w:r>
          </w:p>
        </w:tc>
        <w:tc>
          <w:tcPr>
            <w:tcW w:type="dxa" w:w="5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Alterar (RF009)</w:t>
            </w:r>
          </w:p>
        </w:tc>
      </w:tr>
      <w:tr>
        <w:trPr>
          <w:tblHeader w:val="off"/>
        </w:trPr>
        <w:tc>
          <w:tcPr>
            <w:tcW w:type="dxa" w:w="40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DELETE /api/colaboradores/&lt;matricula&gt;</w:t>
            </w:r>
          </w:p>
        </w:tc>
        <w:tc>
          <w:tcPr>
            <w:tcW w:type="dxa" w:w="5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Excluir (RF009)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Erros de validação (ValidacaoError) viram resposta HTTP 400 com a mensagem da regra violada; matrícula inexistente vira 404.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Os relatórios passam a ser montados em SistemaFolha como dados (listas e totais) e formatados por cada interface. Hoje gerar_folha_individual e emitir_resumo_folha imprimem direto no terminal, o que impede a web de reaproveitá-los.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4.5 Estratégia de persistência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Os colaboradores ficam numa única tabela SQLite, com uma coluna tipo que indica a categoria (herança em tabela única). As regras de negócio também são garantidas pelo banco, como segunda barreira: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500"/>
        <w:gridCol w:w="3372"/>
        <w:gridCol w:w="2000"/>
      </w:tblGrid>
      <w:tr>
        <w:trPr>
          <w:tblHeader/>
        </w:trPr>
        <w:tc>
          <w:tcPr>
            <w:tcW w:type="dxa" w:w="2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Coluna</w:t>
            </w:r>
          </w:p>
        </w:tc>
        <w:tc>
          <w:tcPr>
            <w:tcW w:type="dxa" w:w="1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Tipo</w:t>
            </w:r>
          </w:p>
        </w:tc>
        <w:tc>
          <w:tcPr>
            <w:tcW w:type="dxa" w:w="33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20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Regra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matricula</w:t>
            </w:r>
          </w:p>
        </w:tc>
        <w:tc>
          <w:tcPr>
            <w:tcW w:type="dxa" w:w="1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TEXT</w:t>
            </w:r>
          </w:p>
        </w:tc>
        <w:tc>
          <w:tcPr>
            <w:tcW w:type="dxa" w:w="33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chave primária</w:t>
            </w:r>
          </w:p>
        </w:tc>
        <w:tc>
          <w:tcPr>
            <w:tcW w:type="dxa" w:w="20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RN001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nome</w:t>
            </w:r>
          </w:p>
        </w:tc>
        <w:tc>
          <w:tcPr>
            <w:tcW w:type="dxa" w:w="1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TEXT</w:t>
            </w:r>
          </w:p>
        </w:tc>
        <w:tc>
          <w:tcPr>
            <w:tcW w:type="dxa" w:w="33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não nulo e não vazio</w:t>
            </w:r>
          </w:p>
        </w:tc>
        <w:tc>
          <w:tcPr>
            <w:tcW w:type="dxa" w:w="20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RN002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TEXT</w:t>
            </w:r>
          </w:p>
        </w:tc>
        <w:tc>
          <w:tcPr>
            <w:tcW w:type="dxa" w:w="33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Padrao, Comissionado ou Producao</w:t>
            </w:r>
          </w:p>
        </w:tc>
        <w:tc>
          <w:tcPr>
            <w:tcW w:type="dxa" w:w="20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RF002 a RF004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salario_base</w:t>
            </w:r>
          </w:p>
        </w:tc>
        <w:tc>
          <w:tcPr>
            <w:tcW w:type="dxa" w:w="1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REAL</w:t>
            </w:r>
          </w:p>
        </w:tc>
        <w:tc>
          <w:tcPr>
            <w:tcW w:type="dxa" w:w="33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maior ou igual a zero</w:t>
            </w:r>
          </w:p>
        </w:tc>
        <w:tc>
          <w:tcPr>
            <w:tcW w:type="dxa" w:w="20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RN003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vendas</w:t>
            </w:r>
          </w:p>
        </w:tc>
        <w:tc>
          <w:tcPr>
            <w:tcW w:type="dxa" w:w="1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REAL</w:t>
            </w:r>
          </w:p>
        </w:tc>
        <w:tc>
          <w:tcPr>
            <w:tcW w:type="dxa" w:w="33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maior ou igual a zero</w:t>
            </w:r>
          </w:p>
        </w:tc>
        <w:tc>
          <w:tcPr>
            <w:tcW w:type="dxa" w:w="20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RN004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comissao_pct</w:t>
            </w:r>
          </w:p>
        </w:tc>
        <w:tc>
          <w:tcPr>
            <w:tcW w:type="dxa" w:w="1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REAL</w:t>
            </w:r>
          </w:p>
        </w:tc>
        <w:tc>
          <w:tcPr>
            <w:tcW w:type="dxa" w:w="33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maior ou igual a zero</w:t>
            </w:r>
          </w:p>
        </w:tc>
        <w:tc>
          <w:tcPr>
            <w:tcW w:type="dxa" w:w="20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RN005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qtd_produzida</w:t>
            </w:r>
          </w:p>
        </w:tc>
        <w:tc>
          <w:tcPr>
            <w:tcW w:type="dxa" w:w="1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INTEGER</w:t>
            </w:r>
          </w:p>
        </w:tc>
        <w:tc>
          <w:tcPr>
            <w:tcW w:type="dxa" w:w="33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maior ou igual a zero</w:t>
            </w:r>
          </w:p>
        </w:tc>
        <w:tc>
          <w:tcPr>
            <w:tcW w:type="dxa" w:w="20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RN006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valor_unidade</w:t>
            </w:r>
          </w:p>
        </w:tc>
        <w:tc>
          <w:tcPr>
            <w:tcW w:type="dxa" w:w="1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REAL</w:t>
            </w:r>
          </w:p>
        </w:tc>
        <w:tc>
          <w:tcPr>
            <w:tcW w:type="dxa" w:w="33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maior ou igual a zero</w:t>
            </w:r>
          </w:p>
        </w:tc>
        <w:tc>
          <w:tcPr>
            <w:tcW w:type="dxa" w:w="20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RN007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O salário bruto, o INSS, o IRRF e o líquido não são gravados: são calculados a cada consulta (RN008), então nunca ficam desatualizados.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O script 06_Banco_Dados/schema.sql cria a tabela, e o sistema o executa na inicialização se a tabela ainda não existir.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Toda consulta usa parâmetros (?) em vez de montar o SQL com texto, o que impede injeção de SQL.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Cada operação de escrita é confirmada numa transação; se falhar, nada é gravado pela metade.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Na carga, um registro inválido é informado com a matrícula e o motivo, e os demais continuam sendo carregados. No T1, um registro inválido interrompe a carga de todos os seguintes, com um aviso genérico que não diz qual registro falhou (folhadepagamento.py, linhas 242 e 243).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Os testes usam um banco temporário próprio, nunca o arquivo de uso real.</w:t>
      </w:r>
    </w:p>
    <w:p>
      <w:pPr>
        <w:pStyle w:val="Heading1"/>
        <w:pageBreakBefore/>
        <w:spacing w:after="240"/>
      </w:pPr>
      <w:r>
        <w:rPr>
          <w:rFonts w:ascii="Arial" w:cs="Arial" w:eastAsia="Arial" w:hAnsi="Arial"/>
          <w:b/>
          <w:bCs/>
          <w:color w:val="1F5E5A"/>
          <w:sz w:val="34"/>
          <w:szCs w:val="34"/>
        </w:rPr>
        <w:t xml:space="preserve">5. Plano de Garantia da Qualidade (PGQ)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5.1 Padrões de codificação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Estilo PEP 8, verificado pelo ruff, com linhas de até 100 caracteres. Código com aviso do ruff não é mesclado.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Nomes em português: classes em PascalCase (ColaboradorPadrao); funções, métodos e variáveis em snake_case (calcular_salario_bruto); constantes em maiúsculas.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Anotação de tipo em parâmetros e retornos.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Docstring em toda classe e método público, citando o requisito ou a regra que implementa (exemplo: "RN003: salário base não pode ser negativo.").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Violação de regra de negócio lança ValidacaoError com o código da regra na mensagem (exemplo: "RN001: …").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A camada de domínio não imprime nada nem acessa banco; impressão e leitura de tela ficam só nas interfaces.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Valores monetários são exibidos com duas casas decimais.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Nenhuma exceção é silenciada: todo except informa o que falhou.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5.2 Controle de versões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Repositório Git no GitHub: johnrosik/folha-pagamento-gqs, com a estrutura de entrega de 01 a 11.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O ramo main guarda sempre uma versão que executa. Ninguém trabalha direto nele.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Cada tarefa é feita num ramo próprio, nomeado pelo tipo e pela issue: feat/12-cadastro-sqlite, fix/30-irrf-negativo, docs/9-readme.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Mensagens de commit em português, no imperativo, com o número da issue: "Valida matrícula duplicada no banco (#12)".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Toda mudança entra por Pull Request, revisado e aprovado por outro integrante antes da mesclagem. A mesclagem preserva os commits, para o histórico mostrar o trabalho de cada um.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Tarefas, defeitos e cronograma ficam nas Issues e no GitHub Projects; todo Pull Request cita a issue que resolve.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5.3 Processo de revisão técnica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1E2A30"/>
          <w:sz w:val="22"/>
          <w:szCs w:val="22"/>
        </w:rPr>
        <w:t xml:space="preserve">Inspeção de código. </w:t>
      </w:r>
      <w:r>
        <w:rPr>
          <w:rFonts w:ascii="Arial" w:cs="Arial" w:eastAsia="Arial" w:hAnsi="Arial"/>
          <w:b w:val="false"/>
          <w:bCs w:val="false"/>
          <w:color w:val="1E2A30"/>
          <w:sz w:val="22"/>
          <w:szCs w:val="22"/>
        </w:rPr>
        <w:t xml:space="preserve">Certificar que o código executa todos os requisitos e regras; verificar possíveis erros, bugs e outros problemas; garantir que o front-end está conectado ao back-end, sem função sem representação visual.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1E2A30"/>
          <w:sz w:val="22"/>
          <w:szCs w:val="22"/>
        </w:rPr>
        <w:t xml:space="preserve">Artefatos e software. </w:t>
      </w:r>
      <w:r>
        <w:rPr>
          <w:rFonts w:ascii="Arial" w:cs="Arial" w:eastAsia="Arial" w:hAnsi="Arial"/>
          <w:b w:val="false"/>
          <w:bCs w:val="false"/>
          <w:color w:val="1E2A30"/>
          <w:sz w:val="22"/>
          <w:szCs w:val="22"/>
        </w:rPr>
        <w:t xml:space="preserve">Analisar a qualidade da documentação técnica e dos modelos conceituais; revisar a correspondência entre o código-fonte e os diagramas UML; o software precisa estar de acordo com a definição técnica do projeto, seguindo as regras e a organização definidas pela equipe.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5.4 Critérios de qualidade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Os critérios de qualidade deste projeto seguem a norma ISO/IEC 25010.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6572"/>
      </w:tblGrid>
      <w:tr>
        <w:trPr>
          <w:tblHeader/>
        </w:trPr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65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Critério no projeto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Adequação funcional</w:t>
            </w:r>
          </w:p>
        </w:tc>
        <w:tc>
          <w:tcPr>
            <w:tcW w:type="dxa" w:w="65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Executar todos os requisitos funcionais e os cálculos de salário, desconto e valores sem erro matemático.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Eficiência de desempenho</w:t>
            </w:r>
          </w:p>
        </w:tc>
        <w:tc>
          <w:tcPr>
            <w:tcW w:type="dxa" w:w="65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Cálculo, registro e resumo executados com rapidez e baixo consumo de memória e processamento.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Compatibilidade</w:t>
            </w:r>
          </w:p>
        </w:tc>
        <w:tc>
          <w:tcPr>
            <w:tcW w:type="dxa" w:w="65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Rodar em conjunto com outros programas e nos sistemas operacionais e ambientes da equipe.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65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Menus e formulários com linguagem simples; interface limpa; entradas validadas antes dos cálculos.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65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Guardar e restaurar dados em caso de erro, falha técnica ou desligamento; exceções tratadas sem encerrar a aplicação.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Segurança</w:t>
            </w:r>
          </w:p>
        </w:tc>
        <w:tc>
          <w:tcPr>
            <w:tcW w:type="dxa" w:w="65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Dados mantidos com integridade dos registros.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65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Permitir atualizações, modificações e adaptações.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Portabilidade</w:t>
            </w:r>
          </w:p>
        </w:tc>
        <w:tc>
          <w:tcPr>
            <w:tcW w:type="dxa" w:w="65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Ser transferido de um ambiente de hardware, software ou sistema operacional para outro.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5.5 Métricas adotadas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3100"/>
        <w:gridCol w:w="1700"/>
        <w:gridCol w:w="2072"/>
      </w:tblGrid>
      <w:tr>
        <w:trPr>
          <w:tblHeader/>
        </w:trPr>
        <w:tc>
          <w:tcPr>
            <w:tcW w:type="dxa" w:w="2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Métrica</w:t>
            </w:r>
          </w:p>
        </w:tc>
        <w:tc>
          <w:tcPr>
            <w:tcW w:type="dxa" w:w="31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Como se mede</w:t>
            </w:r>
          </w:p>
        </w:tc>
        <w:tc>
          <w:tcPr>
            <w:tcW w:type="dxa" w:w="17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Meta</w:t>
            </w:r>
          </w:p>
        </w:tc>
        <w:tc>
          <w:tcPr>
            <w:tcW w:type="dxa" w:w="2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Ferramenta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Cobertura de testes</w:t>
            </w:r>
          </w:p>
        </w:tc>
        <w:tc>
          <w:tcPr>
            <w:tcW w:type="dxa" w:w="31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linhas executadas pelos testes ÷ linhas do código</w:t>
            </w:r>
          </w:p>
        </w:tc>
        <w:tc>
          <w:tcPr>
            <w:tcW w:type="dxa" w:w="17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≥ 80%</w:t>
            </w:r>
          </w:p>
        </w:tc>
        <w:tc>
          <w:tcPr>
            <w:tcW w:type="dxa" w:w="2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pytest-cov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Requisitos atendidos</w:t>
            </w:r>
          </w:p>
        </w:tc>
        <w:tc>
          <w:tcPr>
            <w:tcW w:type="dxa" w:w="31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RF com caso de teste aprovado ÷ total de RF</w:t>
            </w:r>
          </w:p>
        </w:tc>
        <w:tc>
          <w:tcPr>
            <w:tcW w:type="dxa" w:w="17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100%</w:t>
            </w:r>
          </w:p>
        </w:tc>
        <w:tc>
          <w:tcPr>
            <w:tcW w:type="dxa" w:w="2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matriz de rastreabilidade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Casos de teste aprovados</w:t>
            </w:r>
          </w:p>
        </w:tc>
        <w:tc>
          <w:tcPr>
            <w:tcW w:type="dxa" w:w="31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aprovados ÷ executados</w:t>
            </w:r>
          </w:p>
        </w:tc>
        <w:tc>
          <w:tcPr>
            <w:tcW w:type="dxa" w:w="17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100% na homologação</w:t>
            </w:r>
          </w:p>
        </w:tc>
        <w:tc>
          <w:tcPr>
            <w:tcW w:type="dxa" w:w="2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relatório de testes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Defeitos críticos abertos</w:t>
            </w:r>
          </w:p>
        </w:tc>
        <w:tc>
          <w:tcPr>
            <w:tcW w:type="dxa" w:w="31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issues bug com severidade crítica e abertas</w:t>
            </w:r>
          </w:p>
        </w:tc>
        <w:tc>
          <w:tcPr>
            <w:tcW w:type="dxa" w:w="17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0</w:t>
            </w:r>
          </w:p>
        </w:tc>
        <w:tc>
          <w:tcPr>
            <w:tcW w:type="dxa" w:w="2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GitHub Issues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Taxa de correção</w:t>
            </w:r>
          </w:p>
        </w:tc>
        <w:tc>
          <w:tcPr>
            <w:tcW w:type="dxa" w:w="31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defeitos corrigidos ÷ defeitos encontrados</w:t>
            </w:r>
          </w:p>
        </w:tc>
        <w:tc>
          <w:tcPr>
            <w:tcW w:type="dxa" w:w="17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100% dos críticos e altos</w:t>
            </w:r>
          </w:p>
        </w:tc>
        <w:tc>
          <w:tcPr>
            <w:tcW w:type="dxa" w:w="2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GitHub Issues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Densidade de defeitos</w:t>
            </w:r>
          </w:p>
        </w:tc>
        <w:tc>
          <w:tcPr>
            <w:tcW w:type="dxa" w:w="31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defeitos encontrados ÷ mil linhas de código</w:t>
            </w:r>
          </w:p>
        </w:tc>
        <w:tc>
          <w:tcPr>
            <w:tcW w:type="dxa" w:w="17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acompanhamento</w:t>
            </w:r>
          </w:p>
        </w:tc>
        <w:tc>
          <w:tcPr>
            <w:tcW w:type="dxa" w:w="2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GitHub Issues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Conformidade de estilo</w:t>
            </w:r>
          </w:p>
        </w:tc>
        <w:tc>
          <w:tcPr>
            <w:tcW w:type="dxa" w:w="31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avisos do ruff</w:t>
            </w:r>
          </w:p>
        </w:tc>
        <w:tc>
          <w:tcPr>
            <w:tcW w:type="dxa" w:w="17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0</w:t>
            </w:r>
          </w:p>
        </w:tc>
        <w:tc>
          <w:tcPr>
            <w:tcW w:type="dxa" w:w="2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ruff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As métricas são medidas a cada Pull Request (cobertura e estilo) e consolidadas no Relatório Final de Qualidade.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5.6 Critérios de aprovação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2300"/>
        <w:gridCol w:w="4072"/>
        <w:gridCol w:w="1500"/>
      </w:tblGrid>
      <w:tr>
        <w:trPr>
          <w:tblHeader/>
        </w:trPr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ID</w:t>
            </w:r>
          </w:p>
        </w:tc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Item de avaliação</w:t>
            </w:r>
          </w:p>
        </w:tc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Critério para aprovação</w:t>
            </w:r>
          </w:p>
        </w:tc>
        <w:tc>
          <w:tcPr>
            <w:tcW w:type="dxa" w:w="1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Peso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CA001</w:t>
            </w:r>
          </w:p>
        </w:tc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Requisitos</w:t>
            </w:r>
          </w:p>
        </w:tc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100% dos requisitos funcionais implementados e operacionais.</w:t>
            </w:r>
          </w:p>
        </w:tc>
        <w:tc>
          <w:tcPr>
            <w:tcW w:type="dxa" w:w="1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Obrigatório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CA002</w:t>
            </w:r>
          </w:p>
        </w:tc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Aprovação em todos os cenários de teste.</w:t>
            </w:r>
          </w:p>
        </w:tc>
        <w:tc>
          <w:tcPr>
            <w:tcW w:type="dxa" w:w="1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Obrigatório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CA003</w:t>
            </w:r>
          </w:p>
        </w:tc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Acurácia</w:t>
            </w:r>
          </w:p>
        </w:tc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 relatório exibe com precisão os cálculos dos salários.</w:t>
            </w:r>
          </w:p>
        </w:tc>
        <w:tc>
          <w:tcPr>
            <w:tcW w:type="dxa" w:w="1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Obrigatório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CA004</w:t>
            </w:r>
          </w:p>
        </w:tc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Persistência dos dados</w:t>
            </w:r>
          </w:p>
        </w:tc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Salvamento e restauração dos dados com sucesso.</w:t>
            </w:r>
          </w:p>
        </w:tc>
        <w:tc>
          <w:tcPr>
            <w:tcW w:type="dxa" w:w="1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Obrigatório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CA005</w:t>
            </w:r>
          </w:p>
        </w:tc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Qualidade da arquitetura</w:t>
            </w:r>
          </w:p>
        </w:tc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Aplicação total dos diagramas UML.</w:t>
            </w:r>
          </w:p>
        </w:tc>
        <w:tc>
          <w:tcPr>
            <w:tcW w:type="dxa" w:w="1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Importante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5.7 Fluxo da garantia da qualidade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/>
        </w:trPr>
        <w:tc>
          <w:tcPr>
            <w:tcW w:type="dxa" w:w="151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1. Requisitos</w:t>
            </w:r>
          </w:p>
        </w:tc>
        <w:tc>
          <w:tcPr>
            <w:tcW w:type="dxa" w:w="151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2. Análise</w:t>
            </w:r>
          </w:p>
        </w:tc>
        <w:tc>
          <w:tcPr>
            <w:tcW w:type="dxa" w:w="151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3. Desenvolvimento</w:t>
            </w:r>
          </w:p>
        </w:tc>
        <w:tc>
          <w:tcPr>
            <w:tcW w:type="dxa" w:w="151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4. Testes</w:t>
            </w:r>
          </w:p>
        </w:tc>
        <w:tc>
          <w:tcPr>
            <w:tcW w:type="dxa" w:w="151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5. Homologação</w:t>
            </w:r>
          </w:p>
        </w:tc>
        <w:tc>
          <w:tcPr>
            <w:tcW w:type="dxa" w:w="151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6. Entrega</w:t>
            </w:r>
          </w:p>
        </w:tc>
      </w:tr>
      <w:tr>
        <w:trPr>
          <w:tblHeader w:val="off"/>
        </w:trPr>
        <w:tc>
          <w:tcPr>
            <w:tcW w:type="dxa" w:w="151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8"/>
                <w:szCs w:val="18"/>
              </w:rPr>
              <w:t xml:space="preserve">Visão e ERS revisadas</w:t>
            </w:r>
          </w:p>
        </w:tc>
        <w:tc>
          <w:tcPr>
            <w:tcW w:type="dxa" w:w="151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8"/>
                <w:szCs w:val="18"/>
              </w:rPr>
              <w:t xml:space="preserve">UML e arquitetura revisadas</w:t>
            </w:r>
          </w:p>
        </w:tc>
        <w:tc>
          <w:tcPr>
            <w:tcW w:type="dxa" w:w="151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8"/>
                <w:szCs w:val="18"/>
              </w:rPr>
              <w:t xml:space="preserve">Código por PR revisado</w:t>
            </w:r>
          </w:p>
        </w:tc>
        <w:tc>
          <w:tcPr>
            <w:tcW w:type="dxa" w:w="151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8"/>
                <w:szCs w:val="18"/>
              </w:rPr>
              <w:t xml:space="preserve">Unitários, integração e aceitação</w:t>
            </w:r>
          </w:p>
        </w:tc>
        <w:tc>
          <w:tcPr>
            <w:tcW w:type="dxa" w:w="151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8"/>
                <w:szCs w:val="18"/>
              </w:rPr>
              <w:t xml:space="preserve">Termo de homologação</w:t>
            </w:r>
          </w:p>
        </w:tc>
        <w:tc>
          <w:tcPr>
            <w:tcW w:type="dxa" w:w="151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8"/>
                <w:szCs w:val="18"/>
              </w:rPr>
              <w:t xml:space="preserve">Pastas 01 a 11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Cada etapa só começa quando a anterior passou pela revisão técnica descrita em 5.3.</w:t>
      </w:r>
    </w:p>
    <w:p>
      <w:pPr>
        <w:pStyle w:val="Heading1"/>
        <w:pageBreakBefore/>
        <w:spacing w:after="240"/>
      </w:pPr>
      <w:r>
        <w:rPr>
          <w:rFonts w:ascii="Arial" w:cs="Arial" w:eastAsia="Arial" w:hAnsi="Arial"/>
          <w:b/>
          <w:bCs/>
          <w:color w:val="1F5E5A"/>
          <w:sz w:val="34"/>
          <w:szCs w:val="34"/>
        </w:rPr>
        <w:t xml:space="preserve">6. Plano de Testes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6.1 Escopo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O foco principal da validação e dos testes são as funções de cadastro, o gerenciamento dos colaboradores e as formas de remuneração do projeto (colaboradores padrão, comissionados e por produção), de acordo com os requisitos funcionais.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A verificação também avalia todas as regras de negócio estabelecidas, com foco na matrícula do colaborador (RN001), na exatidão dos cálculos do salário bruto, dos descontos de INSS e IRRF e do salário líquido (RN008, RF010) e na emissão do resumo consolidado da folha (RF007 e RF008), garantindo a precisão dos somatórios e do total geral a ser pago pela empresa.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Ficam fora do escopo desta fase: segurança avançada, integração com bancos de dados complexos, testes de entrada extrema de dados e acessos simultâneos. A validação concentra-se no comportamento funcional e na usabilidade da aplicação.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6.2 Estratégia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A estratégia combina técnicas de engenharia de software para cobrir as regras de negócio e a arquitetura do sistema, em níveis crescentes: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color w:val="1E2A30"/>
          <w:sz w:val="22"/>
          <w:szCs w:val="22"/>
        </w:rPr>
        <w:t xml:space="preserve">Nível unitário: </w:t>
      </w:r>
      <w:r>
        <w:rPr>
          <w:rFonts w:ascii="Arial" w:cs="Arial" w:eastAsia="Arial" w:hAnsi="Arial"/>
          <w:color w:val="1E2A30"/>
          <w:sz w:val="22"/>
          <w:szCs w:val="22"/>
        </w:rPr>
        <w:t xml:space="preserve">testa os métodos de cálculo, verificando a exatidão das fórmulas do salário, das deduções e do valor líquido de cada tipo de colaborador.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color w:val="1E2A30"/>
          <w:sz w:val="22"/>
          <w:szCs w:val="22"/>
        </w:rPr>
        <w:t xml:space="preserve">Nível de integração: </w:t>
      </w:r>
      <w:r>
        <w:rPr>
          <w:rFonts w:ascii="Arial" w:cs="Arial" w:eastAsia="Arial" w:hAnsi="Arial"/>
          <w:color w:val="1E2A30"/>
          <w:sz w:val="22"/>
          <w:szCs w:val="22"/>
        </w:rPr>
        <w:t xml:space="preserve">confirma o fluxo de dados, em que as informações inseridas são convertidas e gravadas sem perda de integridade.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color w:val="1E2A30"/>
          <w:sz w:val="22"/>
          <w:szCs w:val="22"/>
        </w:rPr>
        <w:t xml:space="preserve">Sistema e aceitação: </w:t>
      </w:r>
      <w:r>
        <w:rPr>
          <w:rFonts w:ascii="Arial" w:cs="Arial" w:eastAsia="Arial" w:hAnsi="Arial"/>
          <w:color w:val="1E2A30"/>
          <w:sz w:val="22"/>
          <w:szCs w:val="22"/>
        </w:rPr>
        <w:t xml:space="preserve">avalia o software do ponto de vista do usuário final, percorrendo todos os fluxos e interfaces para confirmar que os casos de uso atendem aos requisitos.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6.3 Níveis de teste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4272"/>
        <w:gridCol w:w="3200"/>
      </w:tblGrid>
      <w:tr>
        <w:trPr>
          <w:tblHeader/>
        </w:trPr>
        <w:tc>
          <w:tcPr>
            <w:tcW w:type="dxa" w:w="1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Nível</w:t>
            </w:r>
          </w:p>
        </w:tc>
        <w:tc>
          <w:tcPr>
            <w:tcW w:type="dxa" w:w="42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O que se testa</w:t>
            </w:r>
          </w:p>
        </w:tc>
        <w:tc>
          <w:tcPr>
            <w:tcW w:type="dxa" w:w="3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Como</w:t>
            </w:r>
          </w:p>
        </w:tc>
      </w:tr>
      <w:tr>
        <w:trPr>
          <w:tblHeader w:val="off"/>
        </w:trPr>
        <w:tc>
          <w:tcPr>
            <w:tcW w:type="dxa" w:w="1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Unitário</w:t>
            </w:r>
          </w:p>
        </w:tc>
        <w:tc>
          <w:tcPr>
            <w:tcW w:type="dxa" w:w="42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Cálculos de cada tipo de colaborador, INSS, IRRF, líquido e cada regra RN001 a RN008, isoladamente</w:t>
            </w:r>
          </w:p>
        </w:tc>
        <w:tc>
          <w:tcPr>
            <w:tcW w:type="dxa" w:w="3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pytest, sem banco e sem interface</w:t>
            </w:r>
          </w:p>
        </w:tc>
      </w:tr>
      <w:tr>
        <w:trPr>
          <w:tblHeader w:val="off"/>
        </w:trPr>
        <w:tc>
          <w:tcPr>
            <w:tcW w:type="dxa" w:w="1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Integração</w:t>
            </w:r>
          </w:p>
        </w:tc>
        <w:tc>
          <w:tcPr>
            <w:tcW w:type="dxa" w:w="42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SistemaFolha com o SQLite (gravar, restaurar, excluir), as rotas da API e os relatórios</w:t>
            </w:r>
          </w:p>
        </w:tc>
        <w:tc>
          <w:tcPr>
            <w:tcW w:type="dxa" w:w="3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pytest com banco temporário e cliente de testes do Flask</w:t>
            </w:r>
          </w:p>
        </w:tc>
      </w:tr>
      <w:tr>
        <w:trPr>
          <w:tblHeader w:val="off"/>
        </w:trPr>
        <w:tc>
          <w:tcPr>
            <w:tcW w:type="dxa" w:w="1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Sistema</w:t>
            </w:r>
          </w:p>
        </w:tc>
        <w:tc>
          <w:tcPr>
            <w:tcW w:type="dxa" w:w="42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Fluxos completos pelo terminal e pela web: cadastrar, consultar, alterar, excluir, folha individual e resumo</w:t>
            </w:r>
          </w:p>
        </w:tc>
        <w:tc>
          <w:tcPr>
            <w:tcW w:type="dxa" w:w="3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Execução manual roteirizada pelos casos de teste</w:t>
            </w:r>
          </w:p>
        </w:tc>
      </w:tr>
      <w:tr>
        <w:trPr>
          <w:tblHeader w:val="off"/>
        </w:trPr>
        <w:tc>
          <w:tcPr>
            <w:tcW w:type="dxa" w:w="1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Aceitação</w:t>
            </w:r>
          </w:p>
        </w:tc>
        <w:tc>
          <w:tcPr>
            <w:tcW w:type="dxa" w:w="42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Os 20 casos de teste, do ponto de vista do cliente, com resultado esperado e obtido</w:t>
            </w:r>
          </w:p>
        </w:tc>
        <w:tc>
          <w:tcPr>
            <w:tcW w:type="dxa" w:w="32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Execução pela equipe no papel de cliente, registrada no Relatório de Testes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6.4 Ambiente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72"/>
      </w:tblGrid>
      <w:tr>
        <w:trPr>
          <w:tblHeader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Item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Descrição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Sistema operacional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Windows 10 ou 11 (máquinas da equipe)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Linguagem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Python 3.12 ou superior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Banco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SQLite 3, arquivo local; nos testes, banco temporário criado e apagado por teste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Framework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Flask 3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Navegador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Google Chrome ou Microsoft Edge, versão atual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Dados de teste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Colaboradores fictícios criados pelos próprios testes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6.5 Ferramentas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72"/>
      </w:tblGrid>
      <w:tr>
        <w:trPr>
          <w:tblHeader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Ferramenta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Uso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pytest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Execução dos testes unitários e de integração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pytest-cov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Medição da cobertura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Cliente de testes do Flask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Testes das rotas da API sem subir servidor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ruff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Verificação de estilo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GitHub Issues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Registro e acompanhamento de defeitos (etiqueta bug, severidade e prioridade)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GitHub Projects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Acompanhamento das tarefas e do cronograma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PlantUML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Diagramas UML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6.6 Critérios de entrada e saída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1E2A30"/>
          <w:sz w:val="22"/>
          <w:szCs w:val="22"/>
        </w:rPr>
        <w:t xml:space="preserve">Critérios de entrada. </w:t>
      </w:r>
      <w:r>
        <w:rPr>
          <w:rFonts w:ascii="Arial" w:cs="Arial" w:eastAsia="Arial" w:hAnsi="Arial"/>
          <w:b w:val="false"/>
          <w:bCs w:val="false"/>
          <w:color w:val="1E2A30"/>
          <w:sz w:val="22"/>
          <w:szCs w:val="22"/>
        </w:rPr>
        <w:t xml:space="preserve">Implementação do código-fonte concluída, com o back-end em Python e a modelagem orientada a objetos (classe Colaborador e subclasses Padrão, Comissionado e Produção); código inspecionado e revisado, sem erros que impeçam a execução; ambiente de testes configurado; cenários de validação definidos.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1E2A30"/>
          <w:sz w:val="22"/>
          <w:szCs w:val="22"/>
        </w:rPr>
        <w:t xml:space="preserve">Critérios de saída. </w:t>
      </w:r>
      <w:r>
        <w:rPr>
          <w:rFonts w:ascii="Arial" w:cs="Arial" w:eastAsia="Arial" w:hAnsi="Arial"/>
          <w:b w:val="false"/>
          <w:bCs w:val="false"/>
          <w:color w:val="1E2A30"/>
          <w:sz w:val="22"/>
          <w:szCs w:val="22"/>
        </w:rPr>
        <w:t xml:space="preserve">Testes planejados executados para todas as categorias de colaborador e para os relatórios individual e consolidado; nenhum defeito crítico, como erro matemático no cálculo do salário, falha na gravação ou interrupção da execução por dado incorreto; todas as regras de negócio testadas e atendidas.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6.7 Critérios de aprovação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O projeto será aprovado quando cumprir todos os requisitos de qualidade e todos os requisitos funcionais, com exatidão nos cálculos, persistência e restauração dos dados funcionando e tratamento comprovado das exceções de negócio, sem comprometer a estabilidade da aplicação. O software também precisa manter a integridade dos dados, seguir os padrões de arquitetura e estar de acordo com os documentos do sistema: requisitos, regras, diagramas e objetivos do projeto.</w:t>
      </w:r>
    </w:p>
    <w:p>
      <w:pPr>
        <w:pStyle w:val="Heading1"/>
        <w:pageBreakBefore/>
        <w:spacing w:after="240"/>
      </w:pPr>
      <w:r>
        <w:rPr>
          <w:rFonts w:ascii="Arial" w:cs="Arial" w:eastAsia="Arial" w:hAnsi="Arial"/>
          <w:b/>
          <w:bCs/>
          <w:color w:val="1F5E5A"/>
          <w:sz w:val="34"/>
          <w:szCs w:val="34"/>
        </w:rPr>
        <w:t xml:space="preserve">7. Especificação de Casos de Teste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Vinte casos de teste, cada um ligado a um requisito ou regra da matriz de rastreabilidade (2.5). Os valores esperados de CT017 a CT019 foram calculados com as regras das premissas (1.4).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150"/>
        <w:gridCol w:w="2350"/>
        <w:gridCol w:w="2522"/>
        <w:gridCol w:w="2250"/>
      </w:tblGrid>
      <w:tr>
        <w:trPr>
          <w:tblHeader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ID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Requisito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Objetivo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Passos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Resultado esperado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CT001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RF001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Verificar se o sistema realiza corretamente o cadastro de um colaborador.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Informar matrícula, nome e tipo de colaborador. Consultar no sistema.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O sistema cadastra e armazena o colaborador corretamente.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CT002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RF002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Validar o cadastro do colaborador padrão com salário positivo.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Selecionar a categoria padrão e informar salário positivo.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Cadastro aceito com o salário base válido.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CT003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RF003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Testar a aceitação dos dados de um colaborador comissionado.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Selecionar comissionado, inserir salário, vendas e percentual. Salvar.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Cadastro aceito com salário base, vendas e percentual de comissão.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CT004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RF004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Cadastrar colaborador por produção a partir da quantidade e do valor por unidade.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Informar quantidade produzida e valor por unidade. Executar o cadastro.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Cadastro aceito e salário calculado como quantidade × valor por unidade.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CT005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RF005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Testar a busca de um colaborador pela matrícula.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Acessar a consulta, digitar a matrícula e ver o resultado.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O colaborador é localizado e os detalhes são exibidos.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CT006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RF006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Confirmar a exatidão dos cálculos do sistema.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Cadastrar colaboradores e verificar os valores calculados.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Cálculos feitos de forma automática e precisa.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CT007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RF007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Gerar e exibir a folha de pagamento individual.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Acessar a geração de folha, informar a matrícula e solicitar a emissão.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Relatório individual com nome, salário bruto, INSS, IRRF e líquido.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CT008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RF008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Gerar o relatório consolidado e conferir o total geral.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Emitir o resumo consolidado e visualizar a listagem de colaboradores.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Todos os registros listados, com o somatório dos salários e dos impostos.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CT009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RF009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Testar a exclusão de um registro e a atualização da persistência.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Excluir colaborador informando a matrícula e confirmar.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O cadastro é excluído e deixa de aparecer na consulta.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CT010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RN001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Verificar se o sistema impede duas matrículas iguais.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Cadastrar o padrão P01 (Ana Souza, R$ 3.000,00). Tentar cadastrar outro colaborador com a matrícula P01.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Segundo cadastro recusado com "RN001: Toda matrícula deverá ser única"; só o primeiro permanece.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CT011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RN002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Verificar se o sistema recusa nome vazio ou só com espaços.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Cadastrar padrão com matrícula P02, nome em branco e salário R$ 1.500,00.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Cadastro recusado com "RN002: O nome do colaborador é obrigatório."; nada é gravado.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CT012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RN003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Verificar se o sistema impede salário base negativo e exibe o erro.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Preencher matrícula e nome, selecionar o tipo e inserir salário negativo.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Cadastro barrado, com mensagem de erro na interface; o registro não é salvo.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CT013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RN004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Verificar se o sistema recusa valor de vendas negativo.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Cadastrar comissionado C02 com salário R$ 2.000,00, vendas R$ −100,00 e comissão 5%.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Cadastro recusado com "RN004: O valor de vendas não pode ser negativo."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CT014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RN005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Verificar se o sistema recusa comissão negativa.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Cadastrar comissionado C03 com salário R$ 2.000,00, vendas R$ 10.000,00 e comissão −5%.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Cadastro recusado com "RN005: O percentual de comissão não pode ser negativo."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CT015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RN006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Verificar se o sistema recusa quantidade produzida negativa.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Cadastrar produção R02 com quantidade −10 e valor por unidade R$ 10,00.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Cadastro recusado com "RN006: A quantidade produzida não pode ser negativa."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CT016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RN007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Verificar se o sistema recusa valor por unidade negativo.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Cadastrar produção R03 com quantidade 100 e valor por unidade R$ −2,00.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Cadastro recusado com "RN007: O valor pago por unidade produzida não pode ser negativo."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CT017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RF006, RF010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Conferir bruto, INSS, IRRF e líquido de um comissionado, no limite de isenção do IRRF.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Cadastrar C01 (Bruno Lima): salário R$ 2.000,00, vendas R$ 10.000,00, comissão 5%. Gerar a folha individual.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Bruto R$ 2.500,00; INSS R$ 250,00; IRRF R$ 0,00 (base R$ 2.250,00); líquido R$ 2.250,00.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CT018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RF006, RF010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Conferir bruto, INSS, IRRF e líquido de um colaborador por produção, com IRRF.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Cadastrar R01 (Carla Dias): 500 unidades a R$ 10,00. Gerar a folha individual.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Bruto R$ 5.000,00; INSS R$ 500,00; IRRF R$ 337,50; líquido R$ 4.162,50.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CT019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RF008, RF010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Conferir os totais do resumo com os três tipos de colaborador.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Cadastrar P01 (padrão, R$ 3.000,00), C01 e R01. Emitir o resumo consolidado.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3 colaboradores; bruto R$ 10.500,00; INSS R$ 1.050,00; IRRF R$ 540,00; líquido R$ 8.910,00.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7"/>
                <w:szCs w:val="17"/>
              </w:rPr>
              <w:t xml:space="preserve">CT020</w:t>
            </w:r>
          </w:p>
        </w:tc>
        <w:tc>
          <w:tcPr>
            <w:tcW w:type="dxa" w:w="11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RNF003</w:t>
            </w:r>
          </w:p>
        </w:tc>
        <w:tc>
          <w:tcPr>
            <w:tcW w:type="dxa" w:w="23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Verificar se os dados continuam gravados após fechar e abrir o sistema.</w:t>
            </w:r>
          </w:p>
        </w:tc>
        <w:tc>
          <w:tcPr>
            <w:tcW w:type="dxa" w:w="252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Cadastrar P01, C01 e R01. Sair, abrir de novo e consultar as três matrículas.</w:t>
            </w:r>
          </w:p>
        </w:tc>
        <w:tc>
          <w:tcPr>
            <w:tcW w:type="dxa" w:w="225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7"/>
                <w:szCs w:val="17"/>
              </w:rPr>
              <w:t xml:space="preserve">As três matrículas são encontradas, com os mesmos dados do cadastro.</w:t>
            </w:r>
          </w:p>
        </w:tc>
      </w:tr>
    </w:tbl>
    <w:p>
      <w:pPr>
        <w:pStyle w:val="Heading1"/>
        <w:pageBreakBefore/>
        <w:spacing w:after="240"/>
      </w:pPr>
      <w:r>
        <w:rPr>
          <w:rFonts w:ascii="Arial" w:cs="Arial" w:eastAsia="Arial" w:hAnsi="Arial"/>
          <w:b/>
          <w:bCs/>
          <w:color w:val="1F5E5A"/>
          <w:sz w:val="34"/>
          <w:szCs w:val="34"/>
        </w:rPr>
        <w:t xml:space="preserve">8. Planejamento do Projeto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8.1 Estrutura analítica do projeto (EAP)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2500"/>
        <w:gridCol w:w="3772"/>
        <w:gridCol w:w="1900"/>
      </w:tblGrid>
      <w:tr>
        <w:trPr>
          <w:tblHeader/>
        </w:trPr>
        <w:tc>
          <w:tcPr>
            <w:tcW w:type="dxa" w:w="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Código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Pacote de trabalho</w:t>
            </w:r>
          </w:p>
        </w:tc>
        <w:tc>
          <w:tcPr>
            <w:tcW w:type="dxa" w:w="37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Entregáveis</w:t>
            </w:r>
          </w:p>
        </w:tc>
        <w:tc>
          <w:tcPr>
            <w:tcW w:type="dxa" w:w="1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Responsável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1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Projeto Sistema de Folha de Pagamento</w:t>
            </w:r>
          </w:p>
        </w:tc>
        <w:tc>
          <w:tcPr>
            <w:tcW w:type="dxa" w:w="37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Sistema e artefatos da A1 e da A3</w:t>
            </w:r>
          </w:p>
        </w:tc>
        <w:tc>
          <w:tcPr>
            <w:tcW w:type="dxa" w:w="1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Equipe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1.1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Gestão do projeto</w:t>
            </w:r>
          </w:p>
        </w:tc>
        <w:tc>
          <w:tcPr>
            <w:tcW w:type="dxa" w:w="37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EAP, cronograma, distribuição de responsabilidades, atas de revisão</w:t>
            </w:r>
          </w:p>
        </w:tc>
        <w:tc>
          <w:tcPr>
            <w:tcW w:type="dxa" w:w="1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Iago e Ana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1.2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Requisitos</w:t>
            </w:r>
          </w:p>
        </w:tc>
        <w:tc>
          <w:tcPr>
            <w:tcW w:type="dxa" w:w="37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Documento de Visão, ERS, matriz de rastreabilidade</w:t>
            </w:r>
          </w:p>
        </w:tc>
        <w:tc>
          <w:tcPr>
            <w:tcW w:type="dxa" w:w="1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Ana e Mariana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1.3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Análise e projeto</w:t>
            </w:r>
          </w:p>
        </w:tc>
        <w:tc>
          <w:tcPr>
            <w:tcW w:type="dxa" w:w="37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Diagramas UML, Documento de Arquitetura</w:t>
            </w:r>
          </w:p>
        </w:tc>
        <w:tc>
          <w:tcPr>
            <w:tcW w:type="dxa" w:w="1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Mariana e João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1.4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Garantia da qualidade</w:t>
            </w:r>
          </w:p>
        </w:tc>
        <w:tc>
          <w:tcPr>
            <w:tcW w:type="dxa" w:w="37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PGQ, Plano de Testes, casos de teste, registro de defeitos, métricas</w:t>
            </w:r>
          </w:p>
        </w:tc>
        <w:tc>
          <w:tcPr>
            <w:tcW w:type="dxa" w:w="1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Iago, João, Mariana e Ana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1.5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Construção</w:t>
            </w:r>
          </w:p>
        </w:tc>
        <w:tc>
          <w:tcPr>
            <w:tcW w:type="dxa" w:w="37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Código-fonte, banco de dados, API, interfaces de terminal e web</w:t>
            </w:r>
          </w:p>
        </w:tc>
        <w:tc>
          <w:tcPr>
            <w:tcW w:type="dxa" w:w="1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João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1.6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Testes</w:t>
            </w:r>
          </w:p>
        </w:tc>
        <w:tc>
          <w:tcPr>
            <w:tcW w:type="dxa" w:w="37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Testes unitários, de integração e de aceitação, relatório de testes</w:t>
            </w:r>
          </w:p>
        </w:tc>
        <w:tc>
          <w:tcPr>
            <w:tcW w:type="dxa" w:w="1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João e Ana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1.7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Documentação</w:t>
            </w:r>
          </w:p>
        </w:tc>
        <w:tc>
          <w:tcPr>
            <w:tcW w:type="dxa" w:w="37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README, Manual do Usuário, Manual Técnico</w:t>
            </w:r>
          </w:p>
        </w:tc>
        <w:tc>
          <w:tcPr>
            <w:tcW w:type="dxa" w:w="1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João e Mariana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1.8</w:t>
            </w:r>
          </w:p>
        </w:tc>
        <w:tc>
          <w:tcPr>
            <w:tcW w:type="dxa" w:w="25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Homologação e entrega</w:t>
            </w:r>
          </w:p>
        </w:tc>
        <w:tc>
          <w:tcPr>
            <w:tcW w:type="dxa" w:w="37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Termo de Homologação, Relatório Final de Qualidade, apresentações</w:t>
            </w:r>
          </w:p>
        </w:tc>
        <w:tc>
          <w:tcPr>
            <w:tcW w:type="dxa" w:w="19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Ana, Mariana e Iago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8.2 Cronograma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72"/>
        <w:gridCol w:w="1300"/>
        <w:gridCol w:w="1300"/>
        <w:gridCol w:w="2400"/>
      </w:tblGrid>
      <w:tr>
        <w:trPr>
          <w:tblHeader/>
        </w:trPr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Etapa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Início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Fim</w:t>
            </w:r>
          </w:p>
        </w:tc>
        <w:tc>
          <w:tcPr>
            <w:tcW w:type="dxa" w:w="2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Responsável</w:t>
            </w:r>
          </w:p>
        </w:tc>
      </w:tr>
      <w:tr>
        <w:trPr>
          <w:tblHeader w:val="off"/>
        </w:trPr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Visão, ERS e planejamento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07/10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13/10</w:t>
            </w:r>
          </w:p>
        </w:tc>
        <w:tc>
          <w:tcPr>
            <w:tcW w:type="dxa" w:w="2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Ana, Mariana e Iago</w:t>
            </w:r>
          </w:p>
        </w:tc>
      </w:tr>
      <w:tr>
        <w:trPr>
          <w:tblHeader w:val="off"/>
        </w:trPr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UML, Arquitetura, PGQ e Plano de Testes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07/10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15/10</w:t>
            </w:r>
          </w:p>
        </w:tc>
        <w:tc>
          <w:tcPr>
            <w:tcW w:type="dxa" w:w="2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Mariana, João e Iago</w:t>
            </w:r>
          </w:p>
        </w:tc>
      </w:tr>
      <w:tr>
        <w:trPr>
          <w:tblHeader w:val="off"/>
        </w:trPr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Casos de teste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13/10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16/10</w:t>
            </w:r>
          </w:p>
        </w:tc>
        <w:tc>
          <w:tcPr>
            <w:tcW w:type="dxa" w:w="2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Mariana e Ana</w:t>
            </w:r>
          </w:p>
        </w:tc>
      </w:tr>
      <w:tr>
        <w:trPr>
          <w:tblHeader w:val="off"/>
        </w:trPr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Revisão cruzada da A1 (ata)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19/10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19/10</w:t>
            </w:r>
          </w:p>
        </w:tc>
        <w:tc>
          <w:tcPr>
            <w:tcW w:type="dxa" w:w="2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Iago</w:t>
            </w:r>
          </w:p>
        </w:tc>
      </w:tr>
      <w:tr>
        <w:trPr>
          <w:tblHeader w:val="off"/>
        </w:trPr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Entrega e apresentação da A1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20/10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20/10</w:t>
            </w:r>
          </w:p>
        </w:tc>
        <w:tc>
          <w:tcPr>
            <w:tcW w:type="dxa" w:w="2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Equipe</w:t>
            </w:r>
          </w:p>
        </w:tc>
      </w:tr>
      <w:tr>
        <w:trPr>
          <w:tblHeader w:val="off"/>
        </w:trPr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Implementação (RF001 a RF010, SQLite, API)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21/10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01/11</w:t>
            </w:r>
          </w:p>
        </w:tc>
        <w:tc>
          <w:tcPr>
            <w:tcW w:type="dxa" w:w="2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João</w:t>
            </w:r>
          </w:p>
        </w:tc>
      </w:tr>
      <w:tr>
        <w:trPr>
          <w:tblHeader w:val="off"/>
        </w:trPr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Testes unitários e de integração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02/11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08/11</w:t>
            </w:r>
          </w:p>
        </w:tc>
        <w:tc>
          <w:tcPr>
            <w:tcW w:type="dxa" w:w="2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João</w:t>
            </w:r>
          </w:p>
        </w:tc>
      </w:tr>
      <w:tr>
        <w:trPr>
          <w:tblHeader w:val="off"/>
        </w:trPr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Testes de aceitação e registro de defeitos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09/11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22/11</w:t>
            </w:r>
          </w:p>
        </w:tc>
        <w:tc>
          <w:tcPr>
            <w:tcW w:type="dxa" w:w="2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Ana e Iago</w:t>
            </w:r>
          </w:p>
        </w:tc>
      </w:tr>
      <w:tr>
        <w:trPr>
          <w:tblHeader w:val="off"/>
        </w:trPr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Manuais, métricas e relatórios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09/11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28/11</w:t>
            </w:r>
          </w:p>
        </w:tc>
        <w:tc>
          <w:tcPr>
            <w:tcW w:type="dxa" w:w="2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Mariana, João e Iago</w:t>
            </w:r>
          </w:p>
        </w:tc>
      </w:tr>
      <w:tr>
        <w:trPr>
          <w:tblHeader w:val="off"/>
        </w:trPr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Termo de homologação e apresentação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23/11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01/12</w:t>
            </w:r>
          </w:p>
        </w:tc>
        <w:tc>
          <w:tcPr>
            <w:tcW w:type="dxa" w:w="2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Ana e Iago</w:t>
            </w:r>
          </w:p>
        </w:tc>
      </w:tr>
      <w:tr>
        <w:trPr>
          <w:tblHeader w:val="off"/>
        </w:trPr>
        <w:tc>
          <w:tcPr>
            <w:tcW w:type="dxa" w:w="40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Entrega da A3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01/12</w:t>
            </w:r>
          </w:p>
        </w:tc>
        <w:tc>
          <w:tcPr>
            <w:tcW w:type="dxa" w:w="1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01/12</w:t>
            </w:r>
          </w:p>
        </w:tc>
        <w:tc>
          <w:tcPr>
            <w:tcW w:type="dxa" w:w="24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E2A30"/>
                <w:sz w:val="19"/>
                <w:szCs w:val="19"/>
              </w:rPr>
              <w:t xml:space="preserve">Equipe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O cronograma detalhado, item a item, está no GitHub Projects do repositório: github.com/users/johnrosik/projects/3.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8.3 Distribuição de responsabilidades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1800"/>
        <w:gridCol w:w="2486"/>
        <w:gridCol w:w="2486"/>
      </w:tblGrid>
      <w:tr>
        <w:trPr>
          <w:tblHeader/>
        </w:trPr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Integrante</w:t>
            </w:r>
          </w:p>
        </w:tc>
        <w:tc>
          <w:tcPr>
            <w:tcW w:type="dxa" w:w="1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Papel</w:t>
            </w:r>
          </w:p>
        </w:tc>
        <w:tc>
          <w:tcPr>
            <w:tcW w:type="dxa" w:w="248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A1</w:t>
            </w:r>
          </w:p>
        </w:tc>
        <w:tc>
          <w:tcPr>
            <w:tcW w:type="dxa" w:w="248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A3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João Vitor Rosiak de O. Baltezan</w:t>
            </w:r>
          </w:p>
        </w:tc>
        <w:tc>
          <w:tcPr>
            <w:tcW w:type="dxa" w:w="1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Desenvolvimento</w:t>
            </w:r>
          </w:p>
        </w:tc>
        <w:tc>
          <w:tcPr>
            <w:tcW w:type="dxa" w:w="248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Documento de Arquitetura, partes técnicas do PGQ e do Plano de Testes, repositório e README</w:t>
            </w:r>
          </w:p>
        </w:tc>
        <w:tc>
          <w:tcPr>
            <w:tcW w:type="dxa" w:w="248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Sistema, banco, testes unitários e de integração, Manual Técnico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Mariana F. Hammel da Silva</w:t>
            </w:r>
          </w:p>
        </w:tc>
        <w:tc>
          <w:tcPr>
            <w:tcW w:type="dxa" w:w="1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Requisitos e modelagem</w:t>
            </w:r>
          </w:p>
        </w:tc>
        <w:tc>
          <w:tcPr>
            <w:tcW w:type="dxa" w:w="248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ERS, diagramas UML, casos de teste CT001 a CT010</w:t>
            </w:r>
          </w:p>
        </w:tc>
        <w:tc>
          <w:tcPr>
            <w:tcW w:type="dxa" w:w="248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Relatório de Revisão Técnica, Manual do Usuário, Relatório Final de Qualidade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Iago Ferst Tubiana</w:t>
            </w:r>
          </w:p>
        </w:tc>
        <w:tc>
          <w:tcPr>
            <w:tcW w:type="dxa" w:w="1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Gestão e qualidade</w:t>
            </w:r>
          </w:p>
        </w:tc>
        <w:tc>
          <w:tcPr>
            <w:tcW w:type="dxa" w:w="248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PGQ, Plano de Testes, planejamento, ata da revisão cruzada</w:t>
            </w:r>
          </w:p>
        </w:tc>
        <w:tc>
          <w:tcPr>
            <w:tcW w:type="dxa" w:w="248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Registro de defeitos, métricas, relatório de testes, atas, apresentação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8"/>
                <w:szCs w:val="18"/>
              </w:rPr>
              <w:t xml:space="preserve">Ana Clara S. F. Gomes</w:t>
            </w:r>
          </w:p>
        </w:tc>
        <w:tc>
          <w:tcPr>
            <w:tcW w:type="dxa" w:w="18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Requisitos, testes e apresentação</w:t>
            </w:r>
          </w:p>
        </w:tc>
        <w:tc>
          <w:tcPr>
            <w:tcW w:type="dxa" w:w="248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Documento de Visão, casos de teste CT011 a CT020, montagem da entrega</w:t>
            </w:r>
          </w:p>
        </w:tc>
        <w:tc>
          <w:tcPr>
            <w:tcW w:type="dxa" w:w="2486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8"/>
                <w:szCs w:val="18"/>
              </w:rPr>
              <w:t xml:space="preserve">Testes de aceitação, Termo de Homologação, apresentação, montagem da entrega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Cada artefato tem uma issue no repositório, com dono, apoio, prazo e checklist.</w:t>
      </w:r>
    </w:p>
    <w:p>
      <w:pPr>
        <w:pStyle w:val="Heading1"/>
        <w:pageBreakBefore/>
        <w:spacing w:after="240"/>
      </w:pPr>
      <w:r>
        <w:rPr>
          <w:rFonts w:ascii="Arial" w:cs="Arial" w:eastAsia="Arial" w:hAnsi="Arial"/>
          <w:b/>
          <w:bCs/>
          <w:color w:val="1F5E5A"/>
          <w:sz w:val="34"/>
          <w:szCs w:val="34"/>
        </w:rPr>
        <w:t xml:space="preserve">9. Repositório do Projeto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9.1 README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O README do repositório apresenta a equipe e os papéis, onde fica cada parte do trabalho, a estrutura de pastas, como executar o sistema, como contribuir e as datas de entrega. Endereço: github.com/johnrosik/folha-pagamento-gqs.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9.2 Histórico de commits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Toda mudança entra por Pull Request ligado a uma issue, e a mesclagem preserva os commits de cada integrante (5.2). O histórico completo está no próprio repositório.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2A30"/>
          <w:sz w:val="26"/>
          <w:szCs w:val="26"/>
        </w:rPr>
        <w:t xml:space="preserve">9.3 Estrutura inicial do projeto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72"/>
      </w:tblGrid>
      <w:tr>
        <w:trPr>
          <w:tblHeader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Pasta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Conteúdo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01_Requisitos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Documento de Visão, ERS, matriz de rastreabilidade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02_Analise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Diagramas UML (PlantUML e imagens)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03_Projeto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Documento de Arquitetura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04_Testes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Plano de Testes, casos de teste, relatórios de execução e de cobertura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05_Codigo_Fonte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Código do sistema (hoje, o código do T1)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06_Banco_Dados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Script de criação do banco SQLite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07_Executavel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Instruções e script para executar o sistema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08_Manuais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Manual do Usuário e Manual Técnico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09_Homologacao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Testes de aceitação e Termo de Homologação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10_Qualidade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PGQ, registro de defeitos, métricas, atas e Relatório Final de Qualidade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19"/>
                <w:szCs w:val="19"/>
              </w:rPr>
              <w:t xml:space="preserve">11_Apresentacao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19"/>
                <w:szCs w:val="19"/>
              </w:rPr>
              <w:t xml:space="preserve">Planejamento do projeto e slides</w:t>
            </w:r>
          </w:p>
        </w:tc>
      </w:tr>
    </w:tbl>
    <w:p>
      <w:pPr>
        <w:pStyle w:val="Heading1"/>
        <w:pageBreakBefore/>
        <w:spacing w:after="240"/>
      </w:pPr>
      <w:r>
        <w:rPr>
          <w:rFonts w:ascii="Arial" w:cs="Arial" w:eastAsia="Arial" w:hAnsi="Arial"/>
          <w:b/>
          <w:bCs/>
          <w:color w:val="1F5E5A"/>
          <w:sz w:val="34"/>
          <w:szCs w:val="34"/>
        </w:rPr>
        <w:t xml:space="preserve">Anexo · Ata de revisão técnica</w:t>
      </w:r>
    </w:p>
    <w:p>
      <w:pPr>
        <w:spacing w:after="120" w:line="300"/>
      </w:pPr>
      <w:r>
        <w:rPr>
          <w:rFonts w:ascii="Arial" w:cs="Arial" w:eastAsia="Arial" w:hAnsi="Arial"/>
          <w:color w:val="1E2A30"/>
          <w:sz w:val="22"/>
          <w:szCs w:val="22"/>
        </w:rPr>
        <w:t xml:space="preserve">Modelo do Anexo I (seção 15), preenchido na revisão cruzada da A1.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72"/>
      </w:tblGrid>
      <w:tr>
        <w:trPr>
          <w:tblHeader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20"/>
                <w:szCs w:val="20"/>
              </w:rPr>
              <w:t xml:space="preserve">Item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shd w:fill="E3EEE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20"/>
                <w:szCs w:val="20"/>
              </w:rPr>
              <w:t xml:space="preserve">Informação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20"/>
                <w:szCs w:val="20"/>
              </w:rPr>
              <w:t xml:space="preserve">Projeto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20"/>
                <w:szCs w:val="20"/>
              </w:rPr>
              <w:t xml:space="preserve">Sistema de Folha de Pagamento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20"/>
                <w:szCs w:val="20"/>
              </w:rPr>
              <w:t xml:space="preserve">Data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20"/>
                <w:szCs w:val="20"/>
              </w:rPr>
              <w:t xml:space="preserve">Participantes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20"/>
                <w:szCs w:val="20"/>
              </w:rPr>
              <w:t xml:space="preserve">Artefatos revisados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20"/>
                <w:szCs w:val="20"/>
              </w:rPr>
              <w:t xml:space="preserve">Não conformidades encontradas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20"/>
                <w:szCs w:val="20"/>
              </w:rPr>
              <w:t xml:space="preserve">Correções combinadas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E2A30"/>
                <w:sz w:val="20"/>
                <w:szCs w:val="20"/>
              </w:rPr>
              <w:t xml:space="preserve">Responsável e prazo</w:t>
            </w:r>
          </w:p>
        </w:tc>
        <w:tc>
          <w:tcPr>
            <w:tcW w:type="dxa" w:w="6472"/>
            <w:tcBorders>
              <w:top w:val="single" w:color="C9D3D1" w:sz="4"/>
              <w:left w:val="single" w:color="C9D3D1" w:sz="4"/>
              <w:bottom w:val="single" w:color="C9D3D1" w:sz="4"/>
              <w:right w:val="single" w:color="C9D3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E2A30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A6670"/>
        <w:sz w:val="16"/>
        <w:szCs w:val="16"/>
      </w:rPr>
      <w:t xml:space="preserve">Página </w:t>
    </w:r>
    <w:r>
      <w:rPr>
        <w:rFonts w:ascii="Arial" w:cs="Arial" w:eastAsia="Arial" w:hAnsi="Arial"/>
        <w:color w:val="5A6670"/>
        <w:sz w:val="16"/>
        <w:szCs w:val="16"/>
      </w:rPr>
      <w:fldChar w:fldCharType="begin"/>
    </w:r>
    <w:r>
      <w:rPr>
        <w:rFonts w:ascii="Arial" w:cs="Arial" w:eastAsia="Arial" w:hAnsi="Arial"/>
        <w:color w:val="5A6670"/>
        <w:sz w:val="16"/>
        <w:szCs w:val="16"/>
      </w:rPr>
      <w:instrText xml:space="preserve">PAGE</w:instrText>
    </w:r>
    <w:r>
      <w:rPr>
        <w:rFonts w:ascii="Arial" w:cs="Arial" w:eastAsia="Arial" w:hAnsi="Arial"/>
        <w:color w:val="5A6670"/>
        <w:sz w:val="16"/>
        <w:szCs w:val="16"/>
      </w:rPr>
      <w:fldChar w:fldCharType="separate"/>
    </w:r>
    <w:r>
      <w:rPr>
        <w:rFonts w:ascii="Arial" w:cs="Arial" w:eastAsia="Arial" w:hAnsi="Arial"/>
        <w:color w:val="5A6670"/>
        <w:sz w:val="16"/>
        <w:szCs w:val="16"/>
      </w:rPr>
      <w:fldChar w:fldCharType="end"/>
    </w:r>
    <w:r>
      <w:rPr>
        <w:rFonts w:ascii="Arial" w:cs="Arial" w:eastAsia="Arial" w:hAnsi="Arial"/>
        <w:color w:val="5A6670"/>
        <w:sz w:val="16"/>
        <w:szCs w:val="16"/>
      </w:rPr>
      <w:t xml:space="preserve"> de </w:t>
    </w:r>
    <w:r>
      <w:rPr>
        <w:rFonts w:ascii="Arial" w:cs="Arial" w:eastAsia="Arial" w:hAnsi="Arial"/>
        <w:color w:val="5A6670"/>
        <w:sz w:val="16"/>
        <w:szCs w:val="16"/>
      </w:rPr>
      <w:fldChar w:fldCharType="begin"/>
    </w:r>
    <w:r>
      <w:rPr>
        <w:rFonts w:ascii="Arial" w:cs="Arial" w:eastAsia="Arial" w:hAnsi="Arial"/>
        <w:color w:val="5A6670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A6670"/>
        <w:sz w:val="16"/>
        <w:szCs w:val="16"/>
      </w:rPr>
      <w:fldChar w:fldCharType="separate"/>
    </w:r>
    <w:r>
      <w:rPr>
        <w:rFonts w:ascii="Arial" w:cs="Arial" w:eastAsia="Arial" w:hAnsi="Arial"/>
        <w:color w:val="5A66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A6670"/>
        <w:sz w:val="16"/>
        <w:szCs w:val="16"/>
      </w:rPr>
      <w:t xml:space="preserve">Financy · Sistema de Folha de Pagamento · A1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A30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/>
      <w:outlineLvl w:val="0"/>
    </w:pPr>
    <w:rPr>
      <w:rFonts w:ascii="Arial" w:cs="Arial" w:eastAsia="Arial" w:hAnsi="Arial"/>
      <w:b/>
      <w:bCs/>
      <w:color w:val="1F5E5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1E2A3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6ea4dde260b38149ae62bf598a6a9786ba9f4bb.png"/><Relationship Id="rId10" Type="http://schemas.openxmlformats.org/officeDocument/2006/relationships/image" Target="media/db56a27b7e5d406146d6828efcc9661f049ff12f.png"/><Relationship Id="rId11" Type="http://schemas.openxmlformats.org/officeDocument/2006/relationships/image" Target="media/2aa27178bc44175259b48d59355e0da52d04eac6.png"/><Relationship Id="rId12" Type="http://schemas.openxmlformats.org/officeDocument/2006/relationships/image" Target="media/ae34fc78ff932295d82867d1b40cf7af7c92a56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Folha de Pagamento · A1</dc:title>
  <dc:creator>Equipe Folha de Pagamento</dc:creator>
  <cp:lastModifiedBy>Un-named</cp:lastModifiedBy>
  <cp:revision>1</cp:revision>
  <dcterms:created xsi:type="dcterms:W3CDTF">2026-10-21T02:21:42.697Z</dcterms:created>
  <dcterms:modified xsi:type="dcterms:W3CDTF">2026-10-21T02:21:42.698Z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