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366"/>
        <w:tblW w:w="1152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931"/>
        <w:gridCol w:w="1102"/>
        <w:gridCol w:w="1780"/>
        <w:gridCol w:w="1890"/>
        <w:gridCol w:w="1194"/>
        <w:gridCol w:w="2103"/>
        <w:gridCol w:w="1089"/>
      </w:tblGrid>
      <w:tr w:rsidR="00AA09F3" w:rsidRPr="001D4401" w:rsidTr="00AA09F3">
        <w:trPr>
          <w:tblHeader/>
        </w:trPr>
        <w:tc>
          <w:tcPr>
            <w:tcW w:w="143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100" w:afterAutospacing="1" w:line="240" w:lineRule="auto"/>
              <w:ind w:left="-144" w:right="-144"/>
              <w:rPr>
                <w:rFonts w:ascii="Times New Roman" w:eastAsia="Times New Roman" w:hAnsi="Times New Roman" w:cs="Times New Roman"/>
                <w:bCs/>
                <w:color w:val="1F2328"/>
              </w:rPr>
            </w:pPr>
            <w:bookmarkStart w:id="0" w:name="_GoBack"/>
            <w:bookmarkEnd w:id="0"/>
            <w:r w:rsidRPr="001D4401">
              <w:rPr>
                <w:rFonts w:ascii="Times New Roman" w:eastAsia="Times New Roman" w:hAnsi="Times New Roman" w:cs="Times New Roman"/>
                <w:bCs/>
                <w:color w:val="1F2328"/>
              </w:rPr>
              <w:t>Isolate ID</w:t>
            </w:r>
          </w:p>
        </w:tc>
        <w:tc>
          <w:tcPr>
            <w:tcW w:w="931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bCs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bCs/>
                <w:color w:val="1F2328"/>
              </w:rPr>
              <w:t>Quality Module</w:t>
            </w:r>
          </w:p>
        </w:tc>
        <w:tc>
          <w:tcPr>
            <w:tcW w:w="110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bCs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bCs/>
                <w:color w:val="1F2328"/>
              </w:rPr>
              <w:t>Genotype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bCs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bCs/>
                <w:color w:val="1F2328"/>
              </w:rPr>
              <w:t>Predicted Phenotype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bCs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bCs/>
                <w:color w:val="1F2328"/>
              </w:rPr>
              <w:t>CGE Predicted Phenotype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bCs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bCs/>
                <w:color w:val="1F2328"/>
              </w:rPr>
              <w:t>Plasmid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bCs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bCs/>
                <w:color w:val="1F2328"/>
              </w:rPr>
              <w:t>Scheme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bCs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bCs/>
                <w:color w:val="1F2328"/>
              </w:rPr>
              <w:t>Sequence Type</w:t>
            </w:r>
          </w:p>
        </w:tc>
      </w:tr>
      <w:tr w:rsidR="00AA09F3" w:rsidRPr="001D4401" w:rsidTr="00AA09F3">
        <w:tc>
          <w:tcPr>
            <w:tcW w:w="143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color w:val="1F2328"/>
              </w:rPr>
              <w:t>SRR1952908</w:t>
            </w:r>
          </w:p>
        </w:tc>
        <w:tc>
          <w:tcPr>
            <w:tcW w:w="931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color w:val="1F2328"/>
              </w:rPr>
              <w:t>Passed</w:t>
            </w:r>
          </w:p>
        </w:tc>
        <w:tc>
          <w:tcPr>
            <w:tcW w:w="110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aadA1, aadA2, blaTEM-57, cmlA1,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gyrA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 (S83Y), sul3,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tet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(A)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streptomycin, ampicillin, chloramphenicol, ciprofloxacin I/R,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nalidixic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 acid,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sulfisoxazole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, tetracycline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Spectinomycin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, Streptomycin, Amoxicillin, Ampicillin,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Cephalothin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, Piperacillin,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Ticarcillin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, Chloramphenicol,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Nalidixic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 acid, Ciprofloxacin, Sulfamethoxazole, Doxycycline, Tetracycline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ColpVC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IncFIB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(S),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IncFII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(S), IncI1-I(Alpha)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color w:val="1F2328"/>
              </w:rPr>
              <w:t>senterica_achtman_2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color w:val="1F2328"/>
              </w:rPr>
              <w:t>11</w:t>
            </w:r>
          </w:p>
        </w:tc>
      </w:tr>
      <w:tr w:rsidR="00AA09F3" w:rsidRPr="001D4401" w:rsidTr="00AA09F3">
        <w:tc>
          <w:tcPr>
            <w:tcW w:w="143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color w:val="1F2328"/>
              </w:rPr>
              <w:t>SRR1952926</w:t>
            </w:r>
          </w:p>
        </w:tc>
        <w:tc>
          <w:tcPr>
            <w:tcW w:w="931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color w:val="1F2328"/>
              </w:rPr>
              <w:t>Passed</w:t>
            </w:r>
          </w:p>
        </w:tc>
        <w:tc>
          <w:tcPr>
            <w:tcW w:w="1102" w:type="dxa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blaTEM-57,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gyrA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 (S83Y),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tet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(A)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ampicillin, ciprofloxacin I/R,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nalidixic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 acid, tetracycline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Amoxicillin, Ampicillin,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Cephalothin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, Piperacillin,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Ticarcillin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Nalidixic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 acid, Ciprofloxacin, Doxycycline, Tetracycline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ColpVC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IncFIB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 xml:space="preserve">(S), </w:t>
            </w:r>
            <w:proofErr w:type="spellStart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IncFII</w:t>
            </w:r>
            <w:proofErr w:type="spellEnd"/>
            <w:r w:rsidRPr="001D4401">
              <w:rPr>
                <w:rFonts w:ascii="Times New Roman" w:eastAsia="Times New Roman" w:hAnsi="Times New Roman" w:cs="Times New Roman"/>
                <w:color w:val="1F2328"/>
              </w:rPr>
              <w:t>(S), IncI1-I(Alpha)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color w:val="1F2328"/>
              </w:rPr>
              <w:t>senterica_achtman_2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A09F3" w:rsidRPr="001D4401" w:rsidRDefault="00AA09F3" w:rsidP="00AA09F3">
            <w:pPr>
              <w:spacing w:after="240" w:line="240" w:lineRule="auto"/>
              <w:ind w:left="-144" w:right="-144"/>
              <w:rPr>
                <w:rFonts w:ascii="Times New Roman" w:eastAsia="Times New Roman" w:hAnsi="Times New Roman" w:cs="Times New Roman"/>
                <w:color w:val="1F2328"/>
              </w:rPr>
            </w:pPr>
            <w:r w:rsidRPr="001D4401">
              <w:rPr>
                <w:rFonts w:ascii="Times New Roman" w:eastAsia="Times New Roman" w:hAnsi="Times New Roman" w:cs="Times New Roman"/>
                <w:color w:val="1F2328"/>
              </w:rPr>
              <w:t>11</w:t>
            </w:r>
          </w:p>
        </w:tc>
      </w:tr>
    </w:tbl>
    <w:p w:rsidR="00AA09F3" w:rsidRPr="001D4401" w:rsidRDefault="00AA09F3" w:rsidP="00AA09F3">
      <w:pPr>
        <w:ind w:left="-144" w:right="-144"/>
        <w:rPr>
          <w:rFonts w:ascii="Times New Roman" w:hAnsi="Times New Roman" w:cs="Times New Roman"/>
        </w:rPr>
      </w:pPr>
    </w:p>
    <w:p w:rsidR="000C3169" w:rsidRDefault="00AA09F3" w:rsidP="00AA09F3">
      <w:pPr>
        <w:ind w:left="-144" w:right="-144"/>
      </w:pPr>
    </w:p>
    <w:sectPr w:rsidR="000C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F3"/>
    <w:rsid w:val="00AA09F3"/>
    <w:rsid w:val="00B92293"/>
    <w:rsid w:val="00FC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C8E6"/>
  <w15:chartTrackingRefBased/>
  <w15:docId w15:val="{A8544D34-DC8B-4CE5-8D01-E2EA12C2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GULLYHUB</dc:creator>
  <cp:keywords/>
  <dc:description/>
  <cp:lastModifiedBy>GULLYHUB</cp:lastModifiedBy>
  <cp:revision>1</cp:revision>
  <dcterms:created xsi:type="dcterms:W3CDTF">2025-10-05T11:37:00Z</dcterms:created>
  <dcterms:modified xsi:type="dcterms:W3CDTF">2025-10-05T11:41:00Z</dcterms:modified>
</cp:coreProperties>
</file>