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Business Requirements Document (BRD)</w:t>
      </w:r>
    </w:p>
    <w:p>
      <w:pPr>
        <w:spacing w:before="1000"/>
      </w:pPr>
    </w:p>
    <w:p>
      <w:pPr>
        <w:jc w:val="center"/>
      </w:pPr>
      <w:r>
        <w:rPr>
          <w:color w:val="5A5A5A"/>
          <w:sz w:val="22"/>
          <w:szCs w:val="22"/>
        </w:rPr>
        <w:t xml:space="preserve">Document Version 1.0</w:t>
      </w:r>
    </w:p>
    <w:p>
      <w:pPr>
        <w:jc w:val="center"/>
      </w:pPr>
      <w:r>
        <w:rPr>
          <w:color w:val="5A5A5A"/>
          <w:sz w:val="22"/>
          <w:szCs w:val="22"/>
        </w:rPr>
        <w:t xml:space="preserve">Prepared: July 31, 2026</w:t>
      </w:r>
    </w:p>
    <w:p>
      <w:pPr>
        <w:spacing w:before="100"/>
        <w:jc w:val="center"/>
      </w:pPr>
      <w:r>
        <w:rPr>
          <w:color w:val="5A5A5A"/>
          <w:sz w:val="22"/>
          <w:szCs w:val="22"/>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6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3000"/>
            <w:shd w:fill="1F3864" w:val="clear"/>
            <w:tcMar>
              <w:top w:type="dxa" w:w="80"/>
              <w:left w:type="dxa" w:w="100"/>
              <w:bottom w:type="dxa" w:w="80"/>
              <w:right w:type="dxa" w:w="100"/>
            </w:tcMar>
          </w:tcPr>
          <w:p>
            <w:r>
              <w:rPr>
                <w:b/>
                <w:bCs/>
                <w:color w:val="FFFFFF"/>
                <w:sz w:val="20"/>
                <w:szCs w:val="20"/>
              </w:rPr>
              <w:t xml:space="preserve">Author</w:t>
            </w:r>
          </w:p>
        </w:tc>
        <w:tc>
          <w:tcPr>
            <w:tcW w:type="dxa" w:w="3600"/>
            <w:shd w:fill="1F3864" w:val="clear"/>
            <w:tcMar>
              <w:top w:type="dxa" w:w="80"/>
              <w:left w:type="dxa" w:w="100"/>
              <w:bottom w:type="dxa" w:w="80"/>
              <w:right w:type="dxa" w:w="100"/>
            </w:tcMar>
          </w:tcPr>
          <w:p>
            <w:r>
              <w:rPr>
                <w:b/>
                <w:bCs/>
                <w:color w:val="FFFFFF"/>
                <w:sz w:val="20"/>
                <w:szCs w:val="20"/>
              </w:rPr>
              <w:t xml:space="preserve">Description</w:t>
            </w:r>
          </w:p>
        </w:tc>
      </w:tr>
      <w:tr>
        <w:tc>
          <w:tcPr>
            <w:tcW w:type="dxa" w:w="1500"/>
            <w:shd w:fill="FFFFFF" w:val="clear"/>
            <w:tcMar>
              <w:top w:type="dxa" w:w="80"/>
              <w:left w:type="dxa" w:w="100"/>
              <w:bottom w:type="dxa" w:w="80"/>
              <w:right w:type="dxa" w:w="100"/>
            </w:tcMar>
          </w:tcPr>
          <w:p>
            <w:r>
              <w:rPr>
                <w:sz w:val="20"/>
                <w:szCs w:val="20"/>
              </w:rPr>
              <w:t xml:space="preserve">1.0</w:t>
            </w:r>
          </w:p>
        </w:tc>
        <w:tc>
          <w:tcPr>
            <w:tcW w:type="dxa" w:w="1800"/>
            <w:shd w:fill="FFFFFF" w:val="clear"/>
            <w:tcMar>
              <w:top w:type="dxa" w:w="80"/>
              <w:left w:type="dxa" w:w="100"/>
              <w:bottom w:type="dxa" w:w="80"/>
              <w:right w:type="dxa" w:w="100"/>
            </w:tcMar>
          </w:tcPr>
          <w:p>
            <w:r>
              <w:rPr>
                <w:sz w:val="20"/>
                <w:szCs w:val="20"/>
              </w:rPr>
              <w:t xml:space="preserve">2026-07-31</w:t>
            </w:r>
          </w:p>
        </w:tc>
        <w:tc>
          <w:tcPr>
            <w:tcW w:type="dxa" w:w="3000"/>
            <w:shd w:fill="FFFFFF" w:val="clear"/>
            <w:tcMar>
              <w:top w:type="dxa" w:w="80"/>
              <w:left w:type="dxa" w:w="100"/>
              <w:bottom w:type="dxa" w:w="80"/>
              <w:right w:type="dxa" w:w="100"/>
            </w:tcMar>
          </w:tcPr>
          <w:p>
            <w:r>
              <w:rPr>
                <w:sz w:val="20"/>
                <w:szCs w:val="20"/>
              </w:rPr>
              <w:t xml:space="preserve">MGAEMS Project Team</w:t>
            </w:r>
          </w:p>
        </w:tc>
        <w:tc>
          <w:tcPr>
            <w:tcW w:type="dxa" w:w="3600"/>
            <w:shd w:fill="FFFFFF" w:val="clear"/>
            <w:tcMar>
              <w:top w:type="dxa" w:w="80"/>
              <w:left w:type="dxa" w:w="100"/>
              <w:bottom w:type="dxa" w:w="80"/>
              <w:right w:type="dxa" w:w="100"/>
            </w:tcMar>
          </w:tcPr>
          <w:p>
            <w:r>
              <w:rPr>
                <w:sz w:val="20"/>
                <w:szCs w:val="20"/>
              </w:rPr>
              <w:t xml:space="preserve">Initial draft of the Business Requirements Document</w:t>
            </w:r>
          </w:p>
        </w:tc>
      </w:tr>
    </w:tbl>
    <w:p>
      <w:pPr>
        <w:spacing w:after="200"/>
      </w:pPr>
    </w:p>
    <w:p>
      <w:pPr>
        <w:pStyle w:val="Heading2"/>
        <w:spacing w:after="150" w:before="300"/>
      </w:pPr>
      <w:r>
        <w:t xml:space="preserve">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23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2400"/>
            <w:shd w:fill="1F3864" w:val="clear"/>
            <w:tcMar>
              <w:top w:type="dxa" w:w="80"/>
              <w:left w:type="dxa" w:w="100"/>
              <w:bottom w:type="dxa" w:w="80"/>
              <w:right w:type="dxa" w:w="100"/>
            </w:tcMar>
          </w:tcPr>
          <w:p>
            <w:r>
              <w:rPr>
                <w:b/>
                <w:bCs/>
                <w:color w:val="FFFFFF"/>
                <w:sz w:val="20"/>
                <w:szCs w:val="20"/>
              </w:rPr>
              <w:t xml:space="preserve">Name</w:t>
            </w:r>
          </w:p>
        </w:tc>
        <w:tc>
          <w:tcPr>
            <w:tcW w:type="dxa" w:w="2200"/>
            <w:shd w:fill="1F3864" w:val="clear"/>
            <w:tcMar>
              <w:top w:type="dxa" w:w="80"/>
              <w:left w:type="dxa" w:w="100"/>
              <w:bottom w:type="dxa" w:w="80"/>
              <w:right w:type="dxa" w:w="100"/>
            </w:tcMar>
          </w:tcPr>
          <w:p>
            <w:r>
              <w:rPr>
                <w:b/>
                <w:bCs/>
                <w:color w:val="FFFFFF"/>
                <w:sz w:val="20"/>
                <w:szCs w:val="20"/>
              </w:rPr>
              <w:t xml:space="preserve">Signature</w:t>
            </w:r>
          </w:p>
        </w:tc>
        <w:tc>
          <w:tcPr>
            <w:tcW w:type="dxa" w:w="2300"/>
            <w:shd w:fill="1F3864" w:val="clear"/>
            <w:tcMar>
              <w:top w:type="dxa" w:w="80"/>
              <w:left w:type="dxa" w:w="100"/>
              <w:bottom w:type="dxa" w:w="80"/>
              <w:right w:type="dxa" w:w="100"/>
            </w:tcMar>
          </w:tcPr>
          <w:p>
            <w:r>
              <w:rPr>
                <w:b/>
                <w:bCs/>
                <w:color w:val="FFFFFF"/>
                <w:sz w:val="20"/>
                <w:szCs w:val="20"/>
              </w:rPr>
              <w:t xml:space="preserve">Date</w:t>
            </w:r>
          </w:p>
        </w:tc>
      </w:tr>
      <w:tr>
        <w:tc>
          <w:tcPr>
            <w:tcW w:type="dxa" w:w="3000"/>
            <w:shd w:fill="FFFFFF" w:val="clear"/>
            <w:tcMar>
              <w:top w:type="dxa" w:w="80"/>
              <w:left w:type="dxa" w:w="100"/>
              <w:bottom w:type="dxa" w:w="80"/>
              <w:right w:type="dxa" w:w="100"/>
            </w:tcMar>
          </w:tcPr>
          <w:p>
            <w:r>
              <w:rPr>
                <w:sz w:val="20"/>
                <w:szCs w:val="20"/>
              </w:rPr>
              <w:t xml:space="preserve">Head Teacher (Business Sponsor)</w:t>
            </w:r>
          </w:p>
        </w:tc>
        <w:tc>
          <w:tcPr>
            <w:tcW w:type="dxa" w:w="2400"/>
            <w:shd w:fill="FFFFFF" w:val="clear"/>
            <w:tcMar>
              <w:top w:type="dxa" w:w="80"/>
              <w:left w:type="dxa" w:w="100"/>
              <w:bottom w:type="dxa" w:w="80"/>
              <w:right w:type="dxa" w:w="100"/>
            </w:tcMar>
          </w:tcPr>
          <w:p>
            <w:r>
              <w:rPr>
                <w:sz w:val="20"/>
                <w:szCs w:val="20"/>
              </w:rPr>
              <w:t xml:space="preserve"/>
            </w:r>
          </w:p>
        </w:tc>
        <w:tc>
          <w:tcPr>
            <w:tcW w:type="dxa" w:w="2200"/>
            <w:shd w:fill="FFFFFF" w:val="clear"/>
            <w:tcMar>
              <w:top w:type="dxa" w:w="80"/>
              <w:left w:type="dxa" w:w="100"/>
              <w:bottom w:type="dxa" w:w="80"/>
              <w:right w:type="dxa" w:w="100"/>
            </w:tcMar>
          </w:tcPr>
          <w:p>
            <w:r>
              <w:rPr>
                <w:sz w:val="20"/>
                <w:szCs w:val="20"/>
              </w:rPr>
              <w:t xml:space="preserve"/>
            </w:r>
          </w:p>
        </w:tc>
        <w:tc>
          <w:tcPr>
            <w:tcW w:type="dxa" w:w="2300"/>
            <w:shd w:fill="FFFFFF" w:val="clear"/>
            <w:tcMar>
              <w:top w:type="dxa" w:w="80"/>
              <w:left w:type="dxa" w:w="100"/>
              <w:bottom w:type="dxa" w:w="80"/>
              <w:right w:type="dxa" w:w="100"/>
            </w:tcMar>
          </w:tcPr>
          <w:p>
            <w:r>
              <w:rPr>
                <w:sz w:val="20"/>
                <w:szCs w:val="20"/>
              </w:rPr>
              <w:t xml:space="preserve"/>
            </w:r>
          </w:p>
        </w:tc>
      </w:tr>
      <w:tr>
        <w:tc>
          <w:tcPr>
            <w:tcW w:type="dxa" w:w="3000"/>
            <w:shd w:fill="F2F2F2" w:val="clear"/>
            <w:tcMar>
              <w:top w:type="dxa" w:w="80"/>
              <w:left w:type="dxa" w:w="100"/>
              <w:bottom w:type="dxa" w:w="80"/>
              <w:right w:type="dxa" w:w="100"/>
            </w:tcMar>
          </w:tcPr>
          <w:p>
            <w:r>
              <w:rPr>
                <w:sz w:val="20"/>
                <w:szCs w:val="20"/>
              </w:rPr>
              <w:t xml:space="preserve">Deputy Head Teacher</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
            </w:r>
          </w:p>
        </w:tc>
        <w:tc>
          <w:tcPr>
            <w:tcW w:type="dxa" w:w="2300"/>
            <w:shd w:fill="F2F2F2" w:val="clear"/>
            <w:tcMar>
              <w:top w:type="dxa" w:w="80"/>
              <w:left w:type="dxa" w:w="100"/>
              <w:bottom w:type="dxa" w:w="80"/>
              <w:right w:type="dxa" w:w="100"/>
            </w:tcMar>
          </w:tcPr>
          <w:p>
            <w:r>
              <w:rPr>
                <w:sz w:val="20"/>
                <w:szCs w:val="20"/>
              </w:rPr>
              <w:t xml:space="preserve"/>
            </w:r>
          </w:p>
        </w:tc>
      </w:tr>
      <w:tr>
        <w:tc>
          <w:tcPr>
            <w:tcW w:type="dxa" w:w="3000"/>
            <w:shd w:fill="FFFFFF" w:val="clear"/>
            <w:tcMar>
              <w:top w:type="dxa" w:w="80"/>
              <w:left w:type="dxa" w:w="100"/>
              <w:bottom w:type="dxa" w:w="80"/>
              <w:right w:type="dxa" w:w="100"/>
            </w:tcMar>
          </w:tcPr>
          <w:p>
            <w:r>
              <w:rPr>
                <w:sz w:val="20"/>
                <w:szCs w:val="20"/>
              </w:rPr>
              <w:t xml:space="preserve">Sponsor Coordinator</w:t>
            </w:r>
          </w:p>
        </w:tc>
        <w:tc>
          <w:tcPr>
            <w:tcW w:type="dxa" w:w="2400"/>
            <w:shd w:fill="FFFFFF" w:val="clear"/>
            <w:tcMar>
              <w:top w:type="dxa" w:w="80"/>
              <w:left w:type="dxa" w:w="100"/>
              <w:bottom w:type="dxa" w:w="80"/>
              <w:right w:type="dxa" w:w="100"/>
            </w:tcMar>
          </w:tcPr>
          <w:p>
            <w:r>
              <w:rPr>
                <w:sz w:val="20"/>
                <w:szCs w:val="20"/>
              </w:rPr>
              <w:t xml:space="preserve"/>
            </w:r>
          </w:p>
        </w:tc>
        <w:tc>
          <w:tcPr>
            <w:tcW w:type="dxa" w:w="2200"/>
            <w:shd w:fill="FFFFFF" w:val="clear"/>
            <w:tcMar>
              <w:top w:type="dxa" w:w="80"/>
              <w:left w:type="dxa" w:w="100"/>
              <w:bottom w:type="dxa" w:w="80"/>
              <w:right w:type="dxa" w:w="100"/>
            </w:tcMar>
          </w:tcPr>
          <w:p>
            <w:r>
              <w:rPr>
                <w:sz w:val="20"/>
                <w:szCs w:val="20"/>
              </w:rPr>
              <w:t xml:space="preserve"/>
            </w:r>
          </w:p>
        </w:tc>
        <w:tc>
          <w:tcPr>
            <w:tcW w:type="dxa" w:w="2300"/>
            <w:shd w:fill="FFFFFF" w:val="clear"/>
            <w:tcMar>
              <w:top w:type="dxa" w:w="80"/>
              <w:left w:type="dxa" w:w="100"/>
              <w:bottom w:type="dxa" w:w="80"/>
              <w:right w:type="dxa" w:w="100"/>
            </w:tcMar>
          </w:tcPr>
          <w:p>
            <w:r>
              <w:rPr>
                <w:sz w:val="20"/>
                <w:szCs w:val="20"/>
              </w:rPr>
              <w:t xml:space="preserve"/>
            </w:r>
          </w:p>
        </w:tc>
      </w:tr>
      <w:tr>
        <w:tc>
          <w:tcPr>
            <w:tcW w:type="dxa" w:w="3000"/>
            <w:shd w:fill="F2F2F2" w:val="clear"/>
            <w:tcMar>
              <w:top w:type="dxa" w:w="80"/>
              <w:left w:type="dxa" w:w="100"/>
              <w:bottom w:type="dxa" w:w="80"/>
              <w:right w:type="dxa" w:w="100"/>
            </w:tcMar>
          </w:tcPr>
          <w:p>
            <w:r>
              <w:rPr>
                <w:sz w:val="20"/>
                <w:szCs w:val="20"/>
              </w:rPr>
              <w:t xml:space="preserve">Project Lead Developer</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
            </w:r>
          </w:p>
        </w:tc>
        <w:tc>
          <w:tcPr>
            <w:tcW w:type="dxa" w:w="2300"/>
            <w:shd w:fill="F2F2F2" w:val="clear"/>
            <w:tcMar>
              <w:top w:type="dxa" w:w="80"/>
              <w:left w:type="dxa" w:w="100"/>
              <w:bottom w:type="dxa" w:w="80"/>
              <w:right w:type="dxa" w:w="100"/>
            </w:tcMar>
          </w:tcPr>
          <w:p>
            <w:r>
              <w:rPr>
                <w:sz w:val="20"/>
                <w:szCs w:val="20"/>
              </w:rPr>
              <w:t xml:space="preserve"/>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50"/>
      </w:pPr>
      <w:r>
        <w:t xml:space="preserve">Manna Goodnews Academy is a private, sponsor-funded day school serving Primary School (Grade 1-6) and Junior School (Grade 7-9) learners under Kenya's Competency-Based Curriculum (CBC). The school currently relies on manual, paper-based, and fragmented processes to manage student records, academics, attendance, staff, and its network of individual and institutional sponsors. This creates inefficiency, risk of data loss, limited visibility for leadership, and difficulty maintaining strong accountability to sponsors.</w:t>
      </w:r>
    </w:p>
    <w:p>
      <w:pPr>
        <w:spacing w:after="150"/>
      </w:pPr>
      <w:r>
        <w:t xml:space="preserve">This Business Requirements Document (BRD) defines the business case, objectives, stakeholders, and high-level business requirements for the Manna Goodnews Academy Education Management System (MGAEMS) — a secure, modular, web-based platform that will digitize school operations end-to-end, with a distinctive emphasis on sponsorship and partnership management rather than traditional fee billing. This document forms the business foundation from which the Software Requirements Specification (SRS), Use Case Document, and subsequent technical artifacts are derived.</w:t>
      </w:r>
    </w:p>
    <w:p>
      <w:pPr>
        <w:pStyle w:val="Heading1"/>
        <w:spacing w:after="200" w:before="400"/>
      </w:pPr>
      <w:r>
        <w:t xml:space="preserve">2. Business Background &amp; Problem Statement</w:t>
      </w:r>
    </w:p>
    <w:p>
      <w:pPr>
        <w:pStyle w:val="Heading2"/>
        <w:spacing w:after="150" w:before="300"/>
      </w:pPr>
      <w:r>
        <w:t xml:space="preserve">2.1 Current Situation</w:t>
      </w:r>
    </w:p>
    <w:p>
      <w:pPr>
        <w:spacing w:after="150"/>
      </w:pPr>
      <w:r>
        <w:t xml:space="preserve">Manna Goodnews Academy currently manages learner registration, academic records, attendance, staff records, and sponsor relationships largely through manual or disconnected methods. As the school grows in enrolment and in the number of supporting sponsors, churches, ministries, NGOs, and foundations, these manual processes no longer scale, and important institutional information carries a growing risk of being lost, duplicated, or inconsistently recorded.</w:t>
      </w:r>
    </w:p>
    <w:p>
      <w:pPr>
        <w:pStyle w:val="Heading2"/>
        <w:spacing w:after="150" w:before="300"/>
      </w:pPr>
      <w:r>
        <w:t xml:space="preserve">2.2 Problem Statement</w:t>
      </w:r>
    </w:p>
    <w:p>
      <w:pPr>
        <w:pStyle w:val="ListParagraph"/>
        <w:numPr>
          <w:ilvl w:val="0"/>
          <w:numId w:val="1"/>
        </w:numPr>
        <w:spacing w:after="60"/>
      </w:pPr>
      <w:r>
        <w:t xml:space="preserve">Student and academic records are difficult to consolidate, retrieve, and report on across terms and years.</w:t>
      </w:r>
    </w:p>
    <w:p>
      <w:pPr>
        <w:pStyle w:val="ListParagraph"/>
        <w:numPr>
          <w:ilvl w:val="0"/>
          <w:numId w:val="1"/>
        </w:numPr>
        <w:spacing w:after="60"/>
      </w:pPr>
      <w:r>
        <w:t xml:space="preserve">There is no centralized, auditable way to match sponsors with the specific learners, groups, or school-wide programs they support.</w:t>
      </w:r>
    </w:p>
    <w:p>
      <w:pPr>
        <w:pStyle w:val="ListParagraph"/>
        <w:numPr>
          <w:ilvl w:val="0"/>
          <w:numId w:val="1"/>
        </w:numPr>
        <w:spacing w:after="60"/>
      </w:pPr>
      <w:r>
        <w:t xml:space="preserve">Parents and sponsors have no self-service way to view attendance, academic progress, or report cards, creating a communication burden on staff.</w:t>
      </w:r>
    </w:p>
    <w:p>
      <w:pPr>
        <w:pStyle w:val="ListParagraph"/>
        <w:numPr>
          <w:ilvl w:val="0"/>
          <w:numId w:val="1"/>
        </w:numPr>
        <w:spacing w:after="60"/>
      </w:pPr>
      <w:r>
        <w:t xml:space="preserve">Staff (teaching and non-teaching) records, qualifications, and documents are not centrally maintained.</w:t>
      </w:r>
    </w:p>
    <w:p>
      <w:pPr>
        <w:pStyle w:val="ListParagraph"/>
        <w:numPr>
          <w:ilvl w:val="0"/>
          <w:numId w:val="1"/>
        </w:numPr>
        <w:spacing w:after="60"/>
      </w:pPr>
      <w:r>
        <w:t xml:space="preserve">CBC continuous assessment and report-card generation is manual and time-consuming for teachers.</w:t>
      </w:r>
    </w:p>
    <w:p>
      <w:pPr>
        <w:pStyle w:val="ListParagraph"/>
        <w:numPr>
          <w:ilvl w:val="0"/>
          <w:numId w:val="1"/>
        </w:numPr>
        <w:spacing w:after="60"/>
      </w:pPr>
      <w:r>
        <w:t xml:space="preserve">There is no unified reporting capability across student, academic, attendance, staff, sponsorship, and visitor data for leadership decision-making.</w:t>
      </w:r>
    </w:p>
    <w:p>
      <w:pPr>
        <w:pStyle w:val="ListParagraph"/>
        <w:numPr>
          <w:ilvl w:val="0"/>
          <w:numId w:val="1"/>
        </w:numPr>
        <w:spacing w:after="60"/>
      </w:pPr>
      <w:r>
        <w:t xml:space="preserve">Data security (access control, audit trails) is difficult to guarantee with paper and ad-hoc digital records.</w:t>
      </w:r>
    </w:p>
    <w:p>
      <w:pPr>
        <w:pStyle w:val="Heading2"/>
        <w:spacing w:after="150" w:before="300"/>
      </w:pPr>
      <w:r>
        <w:t xml:space="preserve">2.3 Business Opportunity</w:t>
      </w:r>
    </w:p>
    <w:p>
      <w:pPr>
        <w:spacing w:after="150"/>
      </w:pPr>
      <w:r>
        <w:t xml:space="preserve">A purpose-built, modular education management system tailored to Manna Goodnews Academy's sponsorship-funded model — rather than a generic fee-based school system — presents an opportunity to materially improve operational efficiency, strengthen sponsor trust and retention through transparency, and provide leadership with accurate, real-time information for decision-making.</w:t>
      </w:r>
    </w:p>
    <w:p>
      <w:r>
        <w:br w:type="page"/>
      </w:r>
    </w:p>
    <w:p>
      <w:pPr>
        <w:pStyle w:val="Heading1"/>
        <w:spacing w:after="200" w:before="400"/>
      </w:pPr>
      <w:r>
        <w:t xml:space="preserve">3. Business Objectives</w:t>
      </w:r>
    </w:p>
    <w:p>
      <w:pPr>
        <w:spacing w:after="150"/>
      </w:pPr>
      <w:r>
        <w:t xml:space="preserve">The MGAEMS project is intended to achieve the following business objectives: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0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ID</w:t>
            </w:r>
          </w:p>
        </w:tc>
        <w:tc>
          <w:tcPr>
            <w:tcW w:type="dxa" w:w="4200"/>
            <w:shd w:fill="1F3864" w:val="clear"/>
            <w:tcMar>
              <w:top w:type="dxa" w:w="80"/>
              <w:left w:type="dxa" w:w="100"/>
              <w:bottom w:type="dxa" w:w="80"/>
              <w:right w:type="dxa" w:w="100"/>
            </w:tcMar>
          </w:tcPr>
          <w:p>
            <w:r>
              <w:rPr>
                <w:b/>
                <w:bCs/>
                <w:color w:val="FFFFFF"/>
                <w:sz w:val="20"/>
                <w:szCs w:val="20"/>
              </w:rPr>
              <w:t xml:space="preserve">Business Objective</w:t>
            </w:r>
          </w:p>
        </w:tc>
        <w:tc>
          <w:tcPr>
            <w:tcW w:type="dxa" w:w="4000"/>
            <w:shd w:fill="1F3864" w:val="clear"/>
            <w:tcMar>
              <w:top w:type="dxa" w:w="80"/>
              <w:left w:type="dxa" w:w="100"/>
              <w:bottom w:type="dxa" w:w="80"/>
              <w:right w:type="dxa" w:w="100"/>
            </w:tcMar>
          </w:tcPr>
          <w:p>
            <w:r>
              <w:rPr>
                <w:b/>
                <w:bCs/>
                <w:color w:val="FFFFFF"/>
                <w:sz w:val="20"/>
                <w:szCs w:val="20"/>
              </w:rPr>
              <w:t xml:space="preserve">Success Indicator</w:t>
            </w:r>
          </w:p>
        </w:tc>
      </w:tr>
      <w:tr>
        <w:tc>
          <w:tcPr>
            <w:tcW w:type="dxa" w:w="1300"/>
            <w:shd w:fill="FFFFFF" w:val="clear"/>
            <w:tcMar>
              <w:top w:type="dxa" w:w="80"/>
              <w:left w:type="dxa" w:w="100"/>
              <w:bottom w:type="dxa" w:w="80"/>
              <w:right w:type="dxa" w:w="100"/>
            </w:tcMar>
          </w:tcPr>
          <w:p>
            <w:r>
              <w:rPr>
                <w:sz w:val="20"/>
                <w:szCs w:val="20"/>
              </w:rPr>
              <w:t xml:space="preserve">BO-01</w:t>
            </w:r>
          </w:p>
        </w:tc>
        <w:tc>
          <w:tcPr>
            <w:tcW w:type="dxa" w:w="4200"/>
            <w:shd w:fill="FFFFFF" w:val="clear"/>
            <w:tcMar>
              <w:top w:type="dxa" w:w="80"/>
              <w:left w:type="dxa" w:w="100"/>
              <w:bottom w:type="dxa" w:w="80"/>
              <w:right w:type="dxa" w:w="100"/>
            </w:tcMar>
          </w:tcPr>
          <w:p>
            <w:r>
              <w:rPr>
                <w:sz w:val="20"/>
                <w:szCs w:val="20"/>
              </w:rPr>
              <w:t xml:space="preserve">Centralize and digitize all learner records and academic history</w:t>
            </w:r>
          </w:p>
        </w:tc>
        <w:tc>
          <w:tcPr>
            <w:tcW w:type="dxa" w:w="4000"/>
            <w:shd w:fill="FFFFFF" w:val="clear"/>
            <w:tcMar>
              <w:top w:type="dxa" w:w="80"/>
              <w:left w:type="dxa" w:w="100"/>
              <w:bottom w:type="dxa" w:w="80"/>
              <w:right w:type="dxa" w:w="100"/>
            </w:tcMar>
          </w:tcPr>
          <w:p>
            <w:r>
              <w:rPr>
                <w:sz w:val="20"/>
                <w:szCs w:val="20"/>
              </w:rPr>
              <w:t xml:space="preserve">100% of active learners have complete digital profiles within one term of go-live</w:t>
            </w:r>
          </w:p>
        </w:tc>
      </w:tr>
      <w:tr>
        <w:tc>
          <w:tcPr>
            <w:tcW w:type="dxa" w:w="1300"/>
            <w:shd w:fill="F2F2F2" w:val="clear"/>
            <w:tcMar>
              <w:top w:type="dxa" w:w="80"/>
              <w:left w:type="dxa" w:w="100"/>
              <w:bottom w:type="dxa" w:w="80"/>
              <w:right w:type="dxa" w:w="100"/>
            </w:tcMar>
          </w:tcPr>
          <w:p>
            <w:r>
              <w:rPr>
                <w:sz w:val="20"/>
                <w:szCs w:val="20"/>
              </w:rPr>
              <w:t xml:space="preserve">BO-02</w:t>
            </w:r>
          </w:p>
        </w:tc>
        <w:tc>
          <w:tcPr>
            <w:tcW w:type="dxa" w:w="4200"/>
            <w:shd w:fill="F2F2F2" w:val="clear"/>
            <w:tcMar>
              <w:top w:type="dxa" w:w="80"/>
              <w:left w:type="dxa" w:w="100"/>
              <w:bottom w:type="dxa" w:w="80"/>
              <w:right w:type="dxa" w:w="100"/>
            </w:tcMar>
          </w:tcPr>
          <w:p>
            <w:r>
              <w:rPr>
                <w:sz w:val="20"/>
                <w:szCs w:val="20"/>
              </w:rPr>
              <w:t xml:space="preserve">Reduce administrative paperwork and manual record-keeping</w:t>
            </w:r>
          </w:p>
        </w:tc>
        <w:tc>
          <w:tcPr>
            <w:tcW w:type="dxa" w:w="4000"/>
            <w:shd w:fill="F2F2F2" w:val="clear"/>
            <w:tcMar>
              <w:top w:type="dxa" w:w="80"/>
              <w:left w:type="dxa" w:w="100"/>
              <w:bottom w:type="dxa" w:w="80"/>
              <w:right w:type="dxa" w:w="100"/>
            </w:tcMar>
          </w:tcPr>
          <w:p>
            <w:r>
              <w:rPr>
                <w:sz w:val="20"/>
                <w:szCs w:val="20"/>
              </w:rPr>
              <w:t xml:space="preserve">Marked reduction in paper forms/registers in routine use by staff</w:t>
            </w:r>
          </w:p>
        </w:tc>
      </w:tr>
      <w:tr>
        <w:tc>
          <w:tcPr>
            <w:tcW w:type="dxa" w:w="1300"/>
            <w:shd w:fill="FFFFFF" w:val="clear"/>
            <w:tcMar>
              <w:top w:type="dxa" w:w="80"/>
              <w:left w:type="dxa" w:w="100"/>
              <w:bottom w:type="dxa" w:w="80"/>
              <w:right w:type="dxa" w:w="100"/>
            </w:tcMar>
          </w:tcPr>
          <w:p>
            <w:r>
              <w:rPr>
                <w:sz w:val="20"/>
                <w:szCs w:val="20"/>
              </w:rPr>
              <w:t xml:space="preserve">BO-03</w:t>
            </w:r>
          </w:p>
        </w:tc>
        <w:tc>
          <w:tcPr>
            <w:tcW w:type="dxa" w:w="4200"/>
            <w:shd w:fill="FFFFFF" w:val="clear"/>
            <w:tcMar>
              <w:top w:type="dxa" w:w="80"/>
              <w:left w:type="dxa" w:w="100"/>
              <w:bottom w:type="dxa" w:w="80"/>
              <w:right w:type="dxa" w:w="100"/>
            </w:tcMar>
          </w:tcPr>
          <w:p>
            <w:r>
              <w:rPr>
                <w:sz w:val="20"/>
                <w:szCs w:val="20"/>
              </w:rPr>
              <w:t xml:space="preserve">Improve transparency and accountability to sponsors</w:t>
            </w:r>
          </w:p>
        </w:tc>
        <w:tc>
          <w:tcPr>
            <w:tcW w:type="dxa" w:w="4000"/>
            <w:shd w:fill="FFFFFF" w:val="clear"/>
            <w:tcMar>
              <w:top w:type="dxa" w:w="80"/>
              <w:left w:type="dxa" w:w="100"/>
              <w:bottom w:type="dxa" w:w="80"/>
              <w:right w:type="dxa" w:w="100"/>
            </w:tcMar>
          </w:tcPr>
          <w:p>
            <w:r>
              <w:rPr>
                <w:sz w:val="20"/>
                <w:szCs w:val="20"/>
              </w:rPr>
              <w:t xml:space="preserve">Sponsors can self-serve academic/attendance updates for supported learners without contacting staff</w:t>
            </w:r>
          </w:p>
        </w:tc>
      </w:tr>
      <w:tr>
        <w:tc>
          <w:tcPr>
            <w:tcW w:type="dxa" w:w="1300"/>
            <w:shd w:fill="F2F2F2" w:val="clear"/>
            <w:tcMar>
              <w:top w:type="dxa" w:w="80"/>
              <w:left w:type="dxa" w:w="100"/>
              <w:bottom w:type="dxa" w:w="80"/>
              <w:right w:type="dxa" w:w="100"/>
            </w:tcMar>
          </w:tcPr>
          <w:p>
            <w:r>
              <w:rPr>
                <w:sz w:val="20"/>
                <w:szCs w:val="20"/>
              </w:rPr>
              <w:t xml:space="preserve">BO-04</w:t>
            </w:r>
          </w:p>
        </w:tc>
        <w:tc>
          <w:tcPr>
            <w:tcW w:type="dxa" w:w="4200"/>
            <w:shd w:fill="F2F2F2" w:val="clear"/>
            <w:tcMar>
              <w:top w:type="dxa" w:w="80"/>
              <w:left w:type="dxa" w:w="100"/>
              <w:bottom w:type="dxa" w:w="80"/>
              <w:right w:type="dxa" w:w="100"/>
            </w:tcMar>
          </w:tcPr>
          <w:p>
            <w:r>
              <w:rPr>
                <w:sz w:val="20"/>
                <w:szCs w:val="20"/>
              </w:rPr>
              <w:t xml:space="preserve">Strengthen sponsor relationships and support retention/growth of the sponsorship base</w:t>
            </w:r>
          </w:p>
        </w:tc>
        <w:tc>
          <w:tcPr>
            <w:tcW w:type="dxa" w:w="4000"/>
            <w:shd w:fill="F2F2F2" w:val="clear"/>
            <w:tcMar>
              <w:top w:type="dxa" w:w="80"/>
              <w:left w:type="dxa" w:w="100"/>
              <w:bottom w:type="dxa" w:w="80"/>
              <w:right w:type="dxa" w:w="100"/>
            </w:tcMar>
          </w:tcPr>
          <w:p>
            <w:r>
              <w:rPr>
                <w:sz w:val="20"/>
                <w:szCs w:val="20"/>
              </w:rPr>
              <w:t xml:space="preserve">Positive sponsor feedback; increased or sustained sponsorship renewals</w:t>
            </w:r>
          </w:p>
        </w:tc>
      </w:tr>
      <w:tr>
        <w:tc>
          <w:tcPr>
            <w:tcW w:type="dxa" w:w="1300"/>
            <w:shd w:fill="FFFFFF" w:val="clear"/>
            <w:tcMar>
              <w:top w:type="dxa" w:w="80"/>
              <w:left w:type="dxa" w:w="100"/>
              <w:bottom w:type="dxa" w:w="80"/>
              <w:right w:type="dxa" w:w="100"/>
            </w:tcMar>
          </w:tcPr>
          <w:p>
            <w:r>
              <w:rPr>
                <w:sz w:val="20"/>
                <w:szCs w:val="20"/>
              </w:rPr>
              <w:t xml:space="preserve">BO-05</w:t>
            </w:r>
          </w:p>
        </w:tc>
        <w:tc>
          <w:tcPr>
            <w:tcW w:type="dxa" w:w="4200"/>
            <w:shd w:fill="FFFFFF" w:val="clear"/>
            <w:tcMar>
              <w:top w:type="dxa" w:w="80"/>
              <w:left w:type="dxa" w:w="100"/>
              <w:bottom w:type="dxa" w:w="80"/>
              <w:right w:type="dxa" w:w="100"/>
            </w:tcMar>
          </w:tcPr>
          <w:p>
            <w:r>
              <w:rPr>
                <w:sz w:val="20"/>
                <w:szCs w:val="20"/>
              </w:rPr>
              <w:t xml:space="preserve">Improve accuracy and timeliness of CBC assessment reporting</w:t>
            </w:r>
          </w:p>
        </w:tc>
        <w:tc>
          <w:tcPr>
            <w:tcW w:type="dxa" w:w="4000"/>
            <w:shd w:fill="FFFFFF" w:val="clear"/>
            <w:tcMar>
              <w:top w:type="dxa" w:w="80"/>
              <w:left w:type="dxa" w:w="100"/>
              <w:bottom w:type="dxa" w:w="80"/>
              <w:right w:type="dxa" w:w="100"/>
            </w:tcMar>
          </w:tcPr>
          <w:p>
            <w:r>
              <w:rPr>
                <w:sz w:val="20"/>
                <w:szCs w:val="20"/>
              </w:rPr>
              <w:t xml:space="preserve">Report cards generated and available within a defined period after term end</w:t>
            </w:r>
          </w:p>
        </w:tc>
      </w:tr>
      <w:tr>
        <w:tc>
          <w:tcPr>
            <w:tcW w:type="dxa" w:w="1300"/>
            <w:shd w:fill="F2F2F2" w:val="clear"/>
            <w:tcMar>
              <w:top w:type="dxa" w:w="80"/>
              <w:left w:type="dxa" w:w="100"/>
              <w:bottom w:type="dxa" w:w="80"/>
              <w:right w:type="dxa" w:w="100"/>
            </w:tcMar>
          </w:tcPr>
          <w:p>
            <w:r>
              <w:rPr>
                <w:sz w:val="20"/>
                <w:szCs w:val="20"/>
              </w:rPr>
              <w:t xml:space="preserve">BO-06</w:t>
            </w:r>
          </w:p>
        </w:tc>
        <w:tc>
          <w:tcPr>
            <w:tcW w:type="dxa" w:w="4200"/>
            <w:shd w:fill="F2F2F2" w:val="clear"/>
            <w:tcMar>
              <w:top w:type="dxa" w:w="80"/>
              <w:left w:type="dxa" w:w="100"/>
              <w:bottom w:type="dxa" w:w="80"/>
              <w:right w:type="dxa" w:w="100"/>
            </w:tcMar>
          </w:tcPr>
          <w:p>
            <w:r>
              <w:rPr>
                <w:sz w:val="20"/>
                <w:szCs w:val="20"/>
              </w:rPr>
              <w:t xml:space="preserve">Provide leadership with real-time, accurate data for decision-making</w:t>
            </w:r>
          </w:p>
        </w:tc>
        <w:tc>
          <w:tcPr>
            <w:tcW w:type="dxa" w:w="4000"/>
            <w:shd w:fill="F2F2F2" w:val="clear"/>
            <w:tcMar>
              <w:top w:type="dxa" w:w="80"/>
              <w:left w:type="dxa" w:w="100"/>
              <w:bottom w:type="dxa" w:w="80"/>
              <w:right w:type="dxa" w:w="100"/>
            </w:tcMar>
          </w:tcPr>
          <w:p>
            <w:r>
              <w:rPr>
                <w:sz w:val="20"/>
                <w:szCs w:val="20"/>
              </w:rPr>
              <w:t xml:space="preserve">Head Teacher/Deputy can retrieve key statistics on demand via dashboards</w:t>
            </w:r>
          </w:p>
        </w:tc>
      </w:tr>
      <w:tr>
        <w:tc>
          <w:tcPr>
            <w:tcW w:type="dxa" w:w="1300"/>
            <w:shd w:fill="FFFFFF" w:val="clear"/>
            <w:tcMar>
              <w:top w:type="dxa" w:w="80"/>
              <w:left w:type="dxa" w:w="100"/>
              <w:bottom w:type="dxa" w:w="80"/>
              <w:right w:type="dxa" w:w="100"/>
            </w:tcMar>
          </w:tcPr>
          <w:p>
            <w:r>
              <w:rPr>
                <w:sz w:val="20"/>
                <w:szCs w:val="20"/>
              </w:rPr>
              <w:t xml:space="preserve">BO-07</w:t>
            </w:r>
          </w:p>
        </w:tc>
        <w:tc>
          <w:tcPr>
            <w:tcW w:type="dxa" w:w="4200"/>
            <w:shd w:fill="FFFFFF" w:val="clear"/>
            <w:tcMar>
              <w:top w:type="dxa" w:w="80"/>
              <w:left w:type="dxa" w:w="100"/>
              <w:bottom w:type="dxa" w:w="80"/>
              <w:right w:type="dxa" w:w="100"/>
            </w:tcMar>
          </w:tcPr>
          <w:p>
            <w:r>
              <w:rPr>
                <w:sz w:val="20"/>
                <w:szCs w:val="20"/>
              </w:rPr>
              <w:t xml:space="preserve">Ensure secure, role-appropriate access to sensitive information</w:t>
            </w:r>
          </w:p>
        </w:tc>
        <w:tc>
          <w:tcPr>
            <w:tcW w:type="dxa" w:w="4000"/>
            <w:shd w:fill="FFFFFF" w:val="clear"/>
            <w:tcMar>
              <w:top w:type="dxa" w:w="80"/>
              <w:left w:type="dxa" w:w="100"/>
              <w:bottom w:type="dxa" w:w="80"/>
              <w:right w:type="dxa" w:w="100"/>
            </w:tcMar>
          </w:tcPr>
          <w:p>
            <w:r>
              <w:rPr>
                <w:sz w:val="20"/>
                <w:szCs w:val="20"/>
              </w:rPr>
              <w:t xml:space="preserve">No unauthorized data access incidents; audit logs available for review</w:t>
            </w:r>
          </w:p>
        </w:tc>
      </w:tr>
      <w:tr>
        <w:tc>
          <w:tcPr>
            <w:tcW w:type="dxa" w:w="1300"/>
            <w:shd w:fill="F2F2F2" w:val="clear"/>
            <w:tcMar>
              <w:top w:type="dxa" w:w="80"/>
              <w:left w:type="dxa" w:w="100"/>
              <w:bottom w:type="dxa" w:w="80"/>
              <w:right w:type="dxa" w:w="100"/>
            </w:tcMar>
          </w:tcPr>
          <w:p>
            <w:r>
              <w:rPr>
                <w:sz w:val="20"/>
                <w:szCs w:val="20"/>
              </w:rPr>
              <w:t xml:space="preserve">BO-08</w:t>
            </w:r>
          </w:p>
        </w:tc>
        <w:tc>
          <w:tcPr>
            <w:tcW w:type="dxa" w:w="4200"/>
            <w:shd w:fill="F2F2F2" w:val="clear"/>
            <w:tcMar>
              <w:top w:type="dxa" w:w="80"/>
              <w:left w:type="dxa" w:w="100"/>
              <w:bottom w:type="dxa" w:w="80"/>
              <w:right w:type="dxa" w:w="100"/>
            </w:tcMar>
          </w:tcPr>
          <w:p>
            <w:r>
              <w:rPr>
                <w:sz w:val="20"/>
                <w:szCs w:val="20"/>
              </w:rPr>
              <w:t xml:space="preserve">Build a platform that can grow with the school</w:t>
            </w:r>
          </w:p>
        </w:tc>
        <w:tc>
          <w:tcPr>
            <w:tcW w:type="dxa" w:w="4000"/>
            <w:shd w:fill="F2F2F2" w:val="clear"/>
            <w:tcMar>
              <w:top w:type="dxa" w:w="80"/>
              <w:left w:type="dxa" w:w="100"/>
              <w:bottom w:type="dxa" w:w="80"/>
              <w:right w:type="dxa" w:w="100"/>
            </w:tcMar>
          </w:tcPr>
          <w:p>
            <w:r>
              <w:rPr>
                <w:sz w:val="20"/>
                <w:szCs w:val="20"/>
              </w:rPr>
              <w:t xml:space="preserve">New modules (per future roadmap) can be added without re-architecting the system</w:t>
            </w:r>
          </w:p>
        </w:tc>
      </w:tr>
    </w:tbl>
    <w:p>
      <w:r>
        <w:br w:type="page"/>
      </w:r>
    </w:p>
    <w:p>
      <w:pPr>
        <w:pStyle w:val="Heading1"/>
        <w:spacing w:after="200" w:before="400"/>
      </w:pPr>
      <w:r>
        <w:t xml:space="preserve">4.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Stakeholder</w:t>
            </w:r>
          </w:p>
        </w:tc>
        <w:tc>
          <w:tcPr>
            <w:tcW w:type="dxa" w:w="5900"/>
            <w:shd w:fill="1F3864" w:val="clear"/>
            <w:tcMar>
              <w:top w:type="dxa" w:w="80"/>
              <w:left w:type="dxa" w:w="100"/>
              <w:bottom w:type="dxa" w:w="80"/>
              <w:right w:type="dxa" w:w="100"/>
            </w:tcMar>
          </w:tcPr>
          <w:p>
            <w:r>
              <w:rPr>
                <w:b/>
                <w:bCs/>
                <w:color w:val="FFFFFF"/>
                <w:sz w:val="20"/>
                <w:szCs w:val="20"/>
              </w:rPr>
              <w:t xml:space="preserve">Interest / Role in the Project</w:t>
            </w:r>
          </w:p>
        </w:tc>
      </w:tr>
      <w:tr>
        <w:tc>
          <w:tcPr>
            <w:tcW w:type="dxa" w:w="3600"/>
            <w:shd w:fill="FFFFFF" w:val="clear"/>
            <w:tcMar>
              <w:top w:type="dxa" w:w="80"/>
              <w:left w:type="dxa" w:w="100"/>
              <w:bottom w:type="dxa" w:w="80"/>
              <w:right w:type="dxa" w:w="100"/>
            </w:tcMar>
          </w:tcPr>
          <w:p>
            <w:r>
              <w:rPr>
                <w:sz w:val="20"/>
                <w:szCs w:val="20"/>
              </w:rPr>
              <w:t xml:space="preserve">Head Teacher</w:t>
            </w:r>
          </w:p>
        </w:tc>
        <w:tc>
          <w:tcPr>
            <w:tcW w:type="dxa" w:w="5900"/>
            <w:shd w:fill="FFFFFF" w:val="clear"/>
            <w:tcMar>
              <w:top w:type="dxa" w:w="80"/>
              <w:left w:type="dxa" w:w="100"/>
              <w:bottom w:type="dxa" w:w="80"/>
              <w:right w:type="dxa" w:w="100"/>
            </w:tcMar>
          </w:tcPr>
          <w:p>
            <w:r>
              <w:rPr>
                <w:sz w:val="20"/>
                <w:szCs w:val="20"/>
              </w:rPr>
              <w:t xml:space="preserve">Business sponsor and primary decision-maker; oversees academics, staff, and school operations</w:t>
            </w:r>
          </w:p>
        </w:tc>
      </w:tr>
      <w:tr>
        <w:tc>
          <w:tcPr>
            <w:tcW w:type="dxa" w:w="3600"/>
            <w:shd w:fill="F2F2F2" w:val="clear"/>
            <w:tcMar>
              <w:top w:type="dxa" w:w="80"/>
              <w:left w:type="dxa" w:w="100"/>
              <w:bottom w:type="dxa" w:w="80"/>
              <w:right w:type="dxa" w:w="100"/>
            </w:tcMar>
          </w:tcPr>
          <w:p>
            <w:r>
              <w:rPr>
                <w:sz w:val="20"/>
                <w:szCs w:val="20"/>
              </w:rPr>
              <w:t xml:space="preserve">Deputy Head Teacher</w:t>
            </w:r>
          </w:p>
        </w:tc>
        <w:tc>
          <w:tcPr>
            <w:tcW w:type="dxa" w:w="5900"/>
            <w:shd w:fill="F2F2F2" w:val="clear"/>
            <w:tcMar>
              <w:top w:type="dxa" w:w="80"/>
              <w:left w:type="dxa" w:w="100"/>
              <w:bottom w:type="dxa" w:w="80"/>
              <w:right w:type="dxa" w:w="100"/>
            </w:tcMar>
          </w:tcPr>
          <w:p>
            <w:r>
              <w:rPr>
                <w:sz w:val="20"/>
                <w:szCs w:val="20"/>
              </w:rPr>
              <w:t xml:space="preserve">Supports the Head Teacher; delegated administrative oversight</w:t>
            </w:r>
          </w:p>
        </w:tc>
      </w:tr>
      <w:tr>
        <w:tc>
          <w:tcPr>
            <w:tcW w:type="dxa" w:w="3600"/>
            <w:shd w:fill="FFFFFF" w:val="clear"/>
            <w:tcMar>
              <w:top w:type="dxa" w:w="80"/>
              <w:left w:type="dxa" w:w="100"/>
              <w:bottom w:type="dxa" w:w="80"/>
              <w:right w:type="dxa" w:w="100"/>
            </w:tcMar>
          </w:tcPr>
          <w:p>
            <w:r>
              <w:rPr>
                <w:sz w:val="20"/>
                <w:szCs w:val="20"/>
              </w:rPr>
              <w:t xml:space="preserve">Sponsor Coordinator</w:t>
            </w:r>
          </w:p>
        </w:tc>
        <w:tc>
          <w:tcPr>
            <w:tcW w:type="dxa" w:w="5900"/>
            <w:shd w:fill="FFFFFF" w:val="clear"/>
            <w:tcMar>
              <w:top w:type="dxa" w:w="80"/>
              <w:left w:type="dxa" w:w="100"/>
              <w:bottom w:type="dxa" w:w="80"/>
              <w:right w:type="dxa" w:w="100"/>
            </w:tcMar>
          </w:tcPr>
          <w:p>
            <w:r>
              <w:rPr>
                <w:sz w:val="20"/>
                <w:szCs w:val="20"/>
              </w:rPr>
              <w:t xml:space="preserve">Owns sponsor relationships; primary business owner of the Sponsorship module</w:t>
            </w:r>
          </w:p>
        </w:tc>
      </w:tr>
      <w:tr>
        <w:tc>
          <w:tcPr>
            <w:tcW w:type="dxa" w:w="3600"/>
            <w:shd w:fill="F2F2F2" w:val="clear"/>
            <w:tcMar>
              <w:top w:type="dxa" w:w="80"/>
              <w:left w:type="dxa" w:w="100"/>
              <w:bottom w:type="dxa" w:w="80"/>
              <w:right w:type="dxa" w:w="100"/>
            </w:tcMar>
          </w:tcPr>
          <w:p>
            <w:r>
              <w:rPr>
                <w:sz w:val="20"/>
                <w:szCs w:val="20"/>
              </w:rPr>
              <w:t xml:space="preserve">System Administrator / ICT Officer</w:t>
            </w:r>
          </w:p>
        </w:tc>
        <w:tc>
          <w:tcPr>
            <w:tcW w:type="dxa" w:w="5900"/>
            <w:shd w:fill="F2F2F2" w:val="clear"/>
            <w:tcMar>
              <w:top w:type="dxa" w:w="80"/>
              <w:left w:type="dxa" w:w="100"/>
              <w:bottom w:type="dxa" w:w="80"/>
              <w:right w:type="dxa" w:w="100"/>
            </w:tcMar>
          </w:tcPr>
          <w:p>
            <w:r>
              <w:rPr>
                <w:sz w:val="20"/>
                <w:szCs w:val="20"/>
              </w:rPr>
              <w:t xml:space="preserve">Technical owner post-launch; manages users, configuration, and backups</w:t>
            </w:r>
          </w:p>
        </w:tc>
      </w:tr>
      <w:tr>
        <w:tc>
          <w:tcPr>
            <w:tcW w:type="dxa" w:w="3600"/>
            <w:shd w:fill="FFFFFF" w:val="clear"/>
            <w:tcMar>
              <w:top w:type="dxa" w:w="80"/>
              <w:left w:type="dxa" w:w="100"/>
              <w:bottom w:type="dxa" w:w="80"/>
              <w:right w:type="dxa" w:w="100"/>
            </w:tcMar>
          </w:tcPr>
          <w:p>
            <w:r>
              <w:rPr>
                <w:sz w:val="20"/>
                <w:szCs w:val="20"/>
              </w:rPr>
              <w:t xml:space="preserve">Teachers</w:t>
            </w:r>
          </w:p>
        </w:tc>
        <w:tc>
          <w:tcPr>
            <w:tcW w:type="dxa" w:w="5900"/>
            <w:shd w:fill="FFFFFF" w:val="clear"/>
            <w:tcMar>
              <w:top w:type="dxa" w:w="80"/>
              <w:left w:type="dxa" w:w="100"/>
              <w:bottom w:type="dxa" w:w="80"/>
              <w:right w:type="dxa" w:w="100"/>
            </w:tcMar>
          </w:tcPr>
          <w:p>
            <w:r>
              <w:rPr>
                <w:sz w:val="20"/>
                <w:szCs w:val="20"/>
              </w:rPr>
              <w:t xml:space="preserve">Daily users for attendance, assessment, and remarks entry</w:t>
            </w:r>
          </w:p>
        </w:tc>
      </w:tr>
      <w:tr>
        <w:tc>
          <w:tcPr>
            <w:tcW w:type="dxa" w:w="3600"/>
            <w:shd w:fill="F2F2F2" w:val="clear"/>
            <w:tcMar>
              <w:top w:type="dxa" w:w="80"/>
              <w:left w:type="dxa" w:w="100"/>
              <w:bottom w:type="dxa" w:w="80"/>
              <w:right w:type="dxa" w:w="100"/>
            </w:tcMar>
          </w:tcPr>
          <w:p>
            <w:r>
              <w:rPr>
                <w:sz w:val="20"/>
                <w:szCs w:val="20"/>
              </w:rPr>
              <w:t xml:space="preserve">Non-teaching staff (HR-tracked)</w:t>
            </w:r>
          </w:p>
        </w:tc>
        <w:tc>
          <w:tcPr>
            <w:tcW w:type="dxa" w:w="5900"/>
            <w:shd w:fill="F2F2F2" w:val="clear"/>
            <w:tcMar>
              <w:top w:type="dxa" w:w="80"/>
              <w:left w:type="dxa" w:w="100"/>
              <w:bottom w:type="dxa" w:w="80"/>
              <w:right w:type="dxa" w:w="100"/>
            </w:tcMar>
          </w:tcPr>
          <w:p>
            <w:r>
              <w:rPr>
                <w:sz w:val="20"/>
                <w:szCs w:val="20"/>
              </w:rPr>
              <w:t xml:space="preserve">Subjects of the HR module; some (e.g., ICT Officer, Secretary) are also system users</w:t>
            </w:r>
          </w:p>
        </w:tc>
      </w:tr>
      <w:tr>
        <w:tc>
          <w:tcPr>
            <w:tcW w:type="dxa" w:w="3600"/>
            <w:shd w:fill="FFFFFF" w:val="clear"/>
            <w:tcMar>
              <w:top w:type="dxa" w:w="80"/>
              <w:left w:type="dxa" w:w="100"/>
              <w:bottom w:type="dxa" w:w="80"/>
              <w:right w:type="dxa" w:w="100"/>
            </w:tcMar>
          </w:tcPr>
          <w:p>
            <w:r>
              <w:rPr>
                <w:sz w:val="20"/>
                <w:szCs w:val="20"/>
              </w:rPr>
              <w:t xml:space="preserve">Parents / Guardians</w:t>
            </w:r>
          </w:p>
        </w:tc>
        <w:tc>
          <w:tcPr>
            <w:tcW w:type="dxa" w:w="5900"/>
            <w:shd w:fill="FFFFFF" w:val="clear"/>
            <w:tcMar>
              <w:top w:type="dxa" w:w="80"/>
              <w:left w:type="dxa" w:w="100"/>
              <w:bottom w:type="dxa" w:w="80"/>
              <w:right w:type="dxa" w:w="100"/>
            </w:tcMar>
          </w:tcPr>
          <w:p>
            <w:r>
              <w:rPr>
                <w:sz w:val="20"/>
                <w:szCs w:val="20"/>
              </w:rPr>
              <w:t xml:space="preserve">End users of the Parent Portal; primary beneficiaries of transparency into their children's progress</w:t>
            </w:r>
          </w:p>
        </w:tc>
      </w:tr>
      <w:tr>
        <w:tc>
          <w:tcPr>
            <w:tcW w:type="dxa" w:w="3600"/>
            <w:shd w:fill="F2F2F2" w:val="clear"/>
            <w:tcMar>
              <w:top w:type="dxa" w:w="80"/>
              <w:left w:type="dxa" w:w="100"/>
              <w:bottom w:type="dxa" w:w="80"/>
              <w:right w:type="dxa" w:w="100"/>
            </w:tcMar>
          </w:tcPr>
          <w:p>
            <w:r>
              <w:rPr>
                <w:sz w:val="20"/>
                <w:szCs w:val="20"/>
              </w:rPr>
              <w:t xml:space="preserve">Sponsors (individuals, churches, ministries, NGOs, foundations)</w:t>
            </w:r>
          </w:p>
        </w:tc>
        <w:tc>
          <w:tcPr>
            <w:tcW w:type="dxa" w:w="5900"/>
            <w:shd w:fill="F2F2F2" w:val="clear"/>
            <w:tcMar>
              <w:top w:type="dxa" w:w="80"/>
              <w:left w:type="dxa" w:w="100"/>
              <w:bottom w:type="dxa" w:w="80"/>
              <w:right w:type="dxa" w:w="100"/>
            </w:tcMar>
          </w:tcPr>
          <w:p>
            <w:r>
              <w:rPr>
                <w:sz w:val="20"/>
                <w:szCs w:val="20"/>
              </w:rPr>
              <w:t xml:space="preserve">End users of the Sponsor Portal; require confidence and transparency to sustain support</w:t>
            </w:r>
          </w:p>
        </w:tc>
      </w:tr>
      <w:tr>
        <w:tc>
          <w:tcPr>
            <w:tcW w:type="dxa" w:w="3600"/>
            <w:shd w:fill="FFFFFF" w:val="clear"/>
            <w:tcMar>
              <w:top w:type="dxa" w:w="80"/>
              <w:left w:type="dxa" w:w="100"/>
              <w:bottom w:type="dxa" w:w="80"/>
              <w:right w:type="dxa" w:w="100"/>
            </w:tcMar>
          </w:tcPr>
          <w:p>
            <w:r>
              <w:rPr>
                <w:sz w:val="20"/>
                <w:szCs w:val="20"/>
              </w:rPr>
              <w:t xml:space="preserve">Students (Junior School)</w:t>
            </w:r>
          </w:p>
        </w:tc>
        <w:tc>
          <w:tcPr>
            <w:tcW w:type="dxa" w:w="5900"/>
            <w:shd w:fill="FFFFFF" w:val="clear"/>
            <w:tcMar>
              <w:top w:type="dxa" w:w="80"/>
              <w:left w:type="dxa" w:w="100"/>
              <w:bottom w:type="dxa" w:w="80"/>
              <w:right w:type="dxa" w:w="100"/>
            </w:tcMar>
          </w:tcPr>
          <w:p>
            <w:r>
              <w:rPr>
                <w:sz w:val="20"/>
                <w:szCs w:val="20"/>
              </w:rPr>
              <w:t xml:space="preserve">Limited, age-appropriate system interaction where applicable</w:t>
            </w:r>
          </w:p>
        </w:tc>
      </w:tr>
      <w:tr>
        <w:tc>
          <w:tcPr>
            <w:tcW w:type="dxa" w:w="3600"/>
            <w:shd w:fill="F2F2F2" w:val="clear"/>
            <w:tcMar>
              <w:top w:type="dxa" w:w="80"/>
              <w:left w:type="dxa" w:w="100"/>
              <w:bottom w:type="dxa" w:w="80"/>
              <w:right w:type="dxa" w:w="100"/>
            </w:tcMar>
          </w:tcPr>
          <w:p>
            <w:r>
              <w:rPr>
                <w:sz w:val="20"/>
                <w:szCs w:val="20"/>
              </w:rPr>
              <w:t xml:space="preserve">Development Team</w:t>
            </w:r>
          </w:p>
        </w:tc>
        <w:tc>
          <w:tcPr>
            <w:tcW w:type="dxa" w:w="5900"/>
            <w:shd w:fill="F2F2F2" w:val="clear"/>
            <w:tcMar>
              <w:top w:type="dxa" w:w="80"/>
              <w:left w:type="dxa" w:w="100"/>
              <w:bottom w:type="dxa" w:w="80"/>
              <w:right w:type="dxa" w:w="100"/>
            </w:tcMar>
          </w:tcPr>
          <w:p>
            <w:r>
              <w:rPr>
                <w:sz w:val="20"/>
                <w:szCs w:val="20"/>
              </w:rPr>
              <w:t xml:space="preserve">Responsible for designing, building, testing, and deploying MGAEMS</w:t>
            </w:r>
          </w:p>
        </w:tc>
      </w:tr>
    </w:tbl>
    <w:p>
      <w:r>
        <w:br w:type="page"/>
      </w:r>
    </w:p>
    <w:p>
      <w:pPr>
        <w:pStyle w:val="Heading1"/>
        <w:spacing w:after="200" w:before="400"/>
      </w:pPr>
      <w:r>
        <w:t xml:space="preserve">5. Business Scope</w:t>
      </w:r>
    </w:p>
    <w:p>
      <w:pPr>
        <w:pStyle w:val="Heading2"/>
        <w:spacing w:after="150" w:before="300"/>
      </w:pPr>
      <w:r>
        <w:t xml:space="preserve">5.1 In Scope</w:t>
      </w:r>
    </w:p>
    <w:p>
      <w:pPr>
        <w:pStyle w:val="ListParagraph"/>
        <w:numPr>
          <w:ilvl w:val="0"/>
          <w:numId w:val="1"/>
        </w:numPr>
        <w:spacing w:after="60"/>
      </w:pPr>
      <w:r>
        <w:t xml:space="preserve">Student registration and full academic lifecycle management</w:t>
      </w:r>
    </w:p>
    <w:p>
      <w:pPr>
        <w:pStyle w:val="ListParagraph"/>
        <w:numPr>
          <w:ilvl w:val="0"/>
          <w:numId w:val="1"/>
        </w:numPr>
        <w:spacing w:after="60"/>
      </w:pPr>
      <w:r>
        <w:t xml:space="preserve">Academic structure management (years, terms, classes, streams, subjects, timetables) for Primary and Junior School</w:t>
      </w:r>
    </w:p>
    <w:p>
      <w:pPr>
        <w:pStyle w:val="ListParagraph"/>
        <w:numPr>
          <w:ilvl w:val="0"/>
          <w:numId w:val="1"/>
        </w:numPr>
        <w:spacing w:after="60"/>
      </w:pPr>
      <w:r>
        <w:t xml:space="preserve">CBC-aligned continuous and summative assessment, with automatic report card generation</w:t>
      </w:r>
    </w:p>
    <w:p>
      <w:pPr>
        <w:pStyle w:val="ListParagraph"/>
        <w:numPr>
          <w:ilvl w:val="0"/>
          <w:numId w:val="1"/>
        </w:numPr>
        <w:spacing w:after="60"/>
      </w:pPr>
      <w:r>
        <w:t xml:space="preserve">Learner and staff attendance tracking and reporting</w:t>
      </w:r>
    </w:p>
    <w:p>
      <w:pPr>
        <w:pStyle w:val="ListParagraph"/>
        <w:numPr>
          <w:ilvl w:val="0"/>
          <w:numId w:val="1"/>
        </w:numPr>
        <w:spacing w:after="60"/>
      </w:pPr>
      <w:r>
        <w:t xml:space="preserve">Full HR record-keeping for teaching and non-teaching staff</w:t>
      </w:r>
    </w:p>
    <w:p>
      <w:pPr>
        <w:pStyle w:val="ListParagraph"/>
        <w:numPr>
          <w:ilvl w:val="0"/>
          <w:numId w:val="1"/>
        </w:numPr>
        <w:spacing w:after="60"/>
      </w:pPr>
      <w:r>
        <w:t xml:space="preserve">Sponsorship and partnership management (individual, group, and school-wide)</w:t>
      </w:r>
    </w:p>
    <w:p>
      <w:pPr>
        <w:pStyle w:val="ListParagraph"/>
        <w:numPr>
          <w:ilvl w:val="0"/>
          <w:numId w:val="1"/>
        </w:numPr>
        <w:spacing w:after="60"/>
      </w:pPr>
      <w:r>
        <w:t xml:space="preserve">Parent Portal and Sponsor Portal (strictly scoped, self-service access)</w:t>
      </w:r>
    </w:p>
    <w:p>
      <w:pPr>
        <w:pStyle w:val="ListParagraph"/>
        <w:numPr>
          <w:ilvl w:val="0"/>
          <w:numId w:val="1"/>
        </w:numPr>
        <w:spacing w:after="60"/>
      </w:pPr>
      <w:r>
        <w:t xml:space="preserve">Internal communication and announcements, with email notifications</w:t>
      </w:r>
    </w:p>
    <w:p>
      <w:pPr>
        <w:pStyle w:val="ListParagraph"/>
        <w:numPr>
          <w:ilvl w:val="0"/>
          <w:numId w:val="1"/>
        </w:numPr>
        <w:spacing w:after="60"/>
      </w:pPr>
      <w:r>
        <w:t xml:space="preserve">Visitor and volunteer record-keeping</w:t>
      </w:r>
    </w:p>
    <w:p>
      <w:pPr>
        <w:pStyle w:val="ListParagraph"/>
        <w:numPr>
          <w:ilvl w:val="0"/>
          <w:numId w:val="1"/>
        </w:numPr>
        <w:spacing w:after="60"/>
      </w:pPr>
      <w:r>
        <w:t xml:space="preserve">Cross-module reporting (PDF/Excel)</w:t>
      </w:r>
    </w:p>
    <w:p>
      <w:pPr>
        <w:pStyle w:val="ListParagraph"/>
        <w:numPr>
          <w:ilvl w:val="0"/>
          <w:numId w:val="1"/>
        </w:numPr>
        <w:spacing w:after="60"/>
      </w:pPr>
      <w:r>
        <w:t xml:space="preserve">System administration: users, roles, permissions, school settings, backups, audit logs</w:t>
      </w:r>
    </w:p>
    <w:p>
      <w:pPr>
        <w:pStyle w:val="Heading2"/>
        <w:spacing w:after="150" w:before="300"/>
      </w:pPr>
      <w:r>
        <w:t xml:space="preserve">5.2 Out of Scope (Initial Release)</w:t>
      </w:r>
    </w:p>
    <w:p>
      <w:pPr>
        <w:pStyle w:val="ListParagraph"/>
        <w:numPr>
          <w:ilvl w:val="0"/>
          <w:numId w:val="1"/>
        </w:numPr>
        <w:spacing w:after="60"/>
      </w:pPr>
      <w:r>
        <w:t xml:space="preserve">Traditional school fee billing, invoicing, or payment collection — deliberately excluded in favor of the Sponsorship model</w:t>
      </w:r>
    </w:p>
    <w:p>
      <w:pPr>
        <w:pStyle w:val="ListParagraph"/>
        <w:numPr>
          <w:ilvl w:val="0"/>
          <w:numId w:val="1"/>
        </w:numPr>
        <w:spacing w:after="60"/>
      </w:pPr>
      <w:r>
        <w:t xml:space="preserve">SMS notifications (identified as a future enhancement)</w:t>
      </w:r>
    </w:p>
    <w:p>
      <w:pPr>
        <w:pStyle w:val="ListParagraph"/>
        <w:numPr>
          <w:ilvl w:val="0"/>
          <w:numId w:val="1"/>
        </w:numPr>
        <w:spacing w:after="60"/>
      </w:pPr>
      <w:r>
        <w:t xml:space="preserve">M-Pesa integration (identified as a future enhancement)</w:t>
      </w:r>
    </w:p>
    <w:p>
      <w:pPr>
        <w:pStyle w:val="ListParagraph"/>
        <w:numPr>
          <w:ilvl w:val="0"/>
          <w:numId w:val="1"/>
        </w:numPr>
        <w:spacing w:after="60"/>
      </w:pPr>
      <w:r>
        <w:t xml:space="preserve">Senior School (Grade 10-12), Library, Clinic, Payroll, Online Learning, Alumni, and Multi-School Support modules (identified as future scalability items)</w:t>
      </w:r>
    </w:p>
    <w:p>
      <w:r>
        <w:br w:type="page"/>
      </w:r>
    </w:p>
    <w:p>
      <w:pPr>
        <w:pStyle w:val="Heading1"/>
        <w:spacing w:after="200" w:before="400"/>
      </w:pPr>
      <w:r>
        <w:t xml:space="preserve">6. Business Requirements</w:t>
      </w:r>
    </w:p>
    <w:p>
      <w:pPr>
        <w:spacing w:after="150"/>
      </w:pPr>
      <w:r>
        <w:t xml:space="preserve">The following business requirements (BR) describe what the business needs the system to do, independent of technical implementation. Each is elaborated into detailed functional requirements in the companion Software Requirements Specification (SRS).</w:t>
      </w:r>
    </w:p>
    <w:p>
      <w:pPr>
        <w:pStyle w:val="Heading2"/>
        <w:spacing w:after="150" w:before="300"/>
      </w:pPr>
      <w:r>
        <w:t xml:space="preserve">6.1 Student &amp; Academic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BR-01</w:t>
            </w:r>
          </w:p>
        </w:tc>
        <w:tc>
          <w:tcPr>
            <w:tcW w:type="dxa" w:w="8000"/>
            <w:shd w:fill="FFFFFF" w:val="clear"/>
            <w:tcMar>
              <w:top w:type="dxa" w:w="80"/>
              <w:left w:type="dxa" w:w="100"/>
              <w:bottom w:type="dxa" w:w="80"/>
              <w:right w:type="dxa" w:w="100"/>
            </w:tcMar>
          </w:tcPr>
          <w:p>
            <w:r>
              <w:rPr>
                <w:sz w:val="20"/>
                <w:szCs w:val="20"/>
              </w:rPr>
              <w:t xml:space="preserve">The business needs a single digital source of truth for every learner's identity, guardians, medical information, and documents.</w:t>
            </w:r>
          </w:p>
        </w:tc>
      </w:tr>
      <w:tr>
        <w:tc>
          <w:tcPr>
            <w:tcW w:type="dxa" w:w="1500"/>
            <w:shd w:fill="F2F2F2" w:val="clear"/>
            <w:tcMar>
              <w:top w:type="dxa" w:w="80"/>
              <w:left w:type="dxa" w:w="100"/>
              <w:bottom w:type="dxa" w:w="80"/>
              <w:right w:type="dxa" w:w="100"/>
            </w:tcMar>
          </w:tcPr>
          <w:p>
            <w:r>
              <w:rPr>
                <w:sz w:val="20"/>
                <w:szCs w:val="20"/>
              </w:rPr>
              <w:t xml:space="preserve">BR-02</w:t>
            </w:r>
          </w:p>
        </w:tc>
        <w:tc>
          <w:tcPr>
            <w:tcW w:type="dxa" w:w="8000"/>
            <w:shd w:fill="F2F2F2" w:val="clear"/>
            <w:tcMar>
              <w:top w:type="dxa" w:w="80"/>
              <w:left w:type="dxa" w:w="100"/>
              <w:bottom w:type="dxa" w:w="80"/>
              <w:right w:type="dxa" w:w="100"/>
            </w:tcMar>
          </w:tcPr>
          <w:p>
            <w:r>
              <w:rPr>
                <w:sz w:val="20"/>
                <w:szCs w:val="20"/>
              </w:rPr>
              <w:t xml:space="preserve">The business needs learners to be uniquely and automatically identified via admission numbers.</w:t>
            </w:r>
          </w:p>
        </w:tc>
      </w:tr>
      <w:tr>
        <w:tc>
          <w:tcPr>
            <w:tcW w:type="dxa" w:w="1500"/>
            <w:shd w:fill="FFFFFF" w:val="clear"/>
            <w:tcMar>
              <w:top w:type="dxa" w:w="80"/>
              <w:left w:type="dxa" w:w="100"/>
              <w:bottom w:type="dxa" w:w="80"/>
              <w:right w:type="dxa" w:w="100"/>
            </w:tcMar>
          </w:tcPr>
          <w:p>
            <w:r>
              <w:rPr>
                <w:sz w:val="20"/>
                <w:szCs w:val="20"/>
              </w:rPr>
              <w:t xml:space="preserve">BR-03</w:t>
            </w:r>
          </w:p>
        </w:tc>
        <w:tc>
          <w:tcPr>
            <w:tcW w:type="dxa" w:w="8000"/>
            <w:shd w:fill="FFFFFF" w:val="clear"/>
            <w:tcMar>
              <w:top w:type="dxa" w:w="80"/>
              <w:left w:type="dxa" w:w="100"/>
              <w:bottom w:type="dxa" w:w="80"/>
              <w:right w:type="dxa" w:w="100"/>
            </w:tcMar>
          </w:tcPr>
          <w:p>
            <w:r>
              <w:rPr>
                <w:sz w:val="20"/>
                <w:szCs w:val="20"/>
              </w:rPr>
              <w:t xml:space="preserve">The business needs to record and retrieve a learner's complete academic history, including promotions and transfers, across their time at the school.</w:t>
            </w:r>
          </w:p>
        </w:tc>
      </w:tr>
      <w:tr>
        <w:tc>
          <w:tcPr>
            <w:tcW w:type="dxa" w:w="1500"/>
            <w:shd w:fill="F2F2F2" w:val="clear"/>
            <w:tcMar>
              <w:top w:type="dxa" w:w="80"/>
              <w:left w:type="dxa" w:w="100"/>
              <w:bottom w:type="dxa" w:w="80"/>
              <w:right w:type="dxa" w:w="100"/>
            </w:tcMar>
          </w:tcPr>
          <w:p>
            <w:r>
              <w:rPr>
                <w:sz w:val="20"/>
                <w:szCs w:val="20"/>
              </w:rPr>
              <w:t xml:space="preserve">BR-04</w:t>
            </w:r>
          </w:p>
        </w:tc>
        <w:tc>
          <w:tcPr>
            <w:tcW w:type="dxa" w:w="8000"/>
            <w:shd w:fill="F2F2F2" w:val="clear"/>
            <w:tcMar>
              <w:top w:type="dxa" w:w="80"/>
              <w:left w:type="dxa" w:w="100"/>
              <w:bottom w:type="dxa" w:w="80"/>
              <w:right w:type="dxa" w:w="100"/>
            </w:tcMar>
          </w:tcPr>
          <w:p>
            <w:r>
              <w:rPr>
                <w:sz w:val="20"/>
                <w:szCs w:val="20"/>
              </w:rPr>
              <w:t xml:space="preserve">The business needs the academic calendar (years, terms), classes, streams, subjects, and timetables to be centrally configured and consistently applied.</w:t>
            </w:r>
          </w:p>
        </w:tc>
      </w:tr>
    </w:tbl>
    <w:p>
      <w:pPr>
        <w:pStyle w:val="Heading2"/>
        <w:spacing w:after="150" w:before="300"/>
      </w:pPr>
      <w:r>
        <w:t xml:space="preserve">6.2 Assessment &amp; Attendance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BR-05</w:t>
            </w:r>
          </w:p>
        </w:tc>
        <w:tc>
          <w:tcPr>
            <w:tcW w:type="dxa" w:w="8000"/>
            <w:shd w:fill="FFFFFF" w:val="clear"/>
            <w:tcMar>
              <w:top w:type="dxa" w:w="80"/>
              <w:left w:type="dxa" w:w="100"/>
              <w:bottom w:type="dxa" w:w="80"/>
              <w:right w:type="dxa" w:w="100"/>
            </w:tcMar>
          </w:tcPr>
          <w:p>
            <w:r>
              <w:rPr>
                <w:sz w:val="20"/>
                <w:szCs w:val="20"/>
              </w:rPr>
              <w:t xml:space="preserve">The business needs teachers to record CBC-aligned continuous and end-term assessments efficiently.</w:t>
            </w:r>
          </w:p>
        </w:tc>
      </w:tr>
      <w:tr>
        <w:tc>
          <w:tcPr>
            <w:tcW w:type="dxa" w:w="1500"/>
            <w:shd w:fill="F2F2F2" w:val="clear"/>
            <w:tcMar>
              <w:top w:type="dxa" w:w="80"/>
              <w:left w:type="dxa" w:w="100"/>
              <w:bottom w:type="dxa" w:w="80"/>
              <w:right w:type="dxa" w:w="100"/>
            </w:tcMar>
          </w:tcPr>
          <w:p>
            <w:r>
              <w:rPr>
                <w:sz w:val="20"/>
                <w:szCs w:val="20"/>
              </w:rPr>
              <w:t xml:space="preserve">BR-06</w:t>
            </w:r>
          </w:p>
        </w:tc>
        <w:tc>
          <w:tcPr>
            <w:tcW w:type="dxa" w:w="8000"/>
            <w:shd w:fill="F2F2F2" w:val="clear"/>
            <w:tcMar>
              <w:top w:type="dxa" w:w="80"/>
              <w:left w:type="dxa" w:w="100"/>
              <w:bottom w:type="dxa" w:w="80"/>
              <w:right w:type="dxa" w:w="100"/>
            </w:tcMar>
          </w:tcPr>
          <w:p>
            <w:r>
              <w:rPr>
                <w:sz w:val="20"/>
                <w:szCs w:val="20"/>
              </w:rPr>
              <w:t xml:space="preserve">The business needs report cards to be generated automatically and consistently, reducing manual compilation effort.</w:t>
            </w:r>
          </w:p>
        </w:tc>
      </w:tr>
      <w:tr>
        <w:tc>
          <w:tcPr>
            <w:tcW w:type="dxa" w:w="1500"/>
            <w:shd w:fill="FFFFFF" w:val="clear"/>
            <w:tcMar>
              <w:top w:type="dxa" w:w="80"/>
              <w:left w:type="dxa" w:w="100"/>
              <w:bottom w:type="dxa" w:w="80"/>
              <w:right w:type="dxa" w:w="100"/>
            </w:tcMar>
          </w:tcPr>
          <w:p>
            <w:r>
              <w:rPr>
                <w:sz w:val="20"/>
                <w:szCs w:val="20"/>
              </w:rPr>
              <w:t xml:space="preserve">BR-07</w:t>
            </w:r>
          </w:p>
        </w:tc>
        <w:tc>
          <w:tcPr>
            <w:tcW w:type="dxa" w:w="8000"/>
            <w:shd w:fill="FFFFFF" w:val="clear"/>
            <w:tcMar>
              <w:top w:type="dxa" w:w="80"/>
              <w:left w:type="dxa" w:w="100"/>
              <w:bottom w:type="dxa" w:w="80"/>
              <w:right w:type="dxa" w:w="100"/>
            </w:tcMar>
          </w:tcPr>
          <w:p>
            <w:r>
              <w:rPr>
                <w:sz w:val="20"/>
                <w:szCs w:val="20"/>
              </w:rPr>
              <w:t xml:space="preserve">The business needs daily attendance for both learners and staff to be recorded and summarized into actionable reports.</w:t>
            </w:r>
          </w:p>
        </w:tc>
      </w:tr>
    </w:tbl>
    <w:p>
      <w:pPr>
        <w:pStyle w:val="Heading2"/>
        <w:spacing w:after="150" w:before="300"/>
      </w:pPr>
      <w:r>
        <w:t xml:space="preserve">6.3 Staffing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BR-08</w:t>
            </w:r>
          </w:p>
        </w:tc>
        <w:tc>
          <w:tcPr>
            <w:tcW w:type="dxa" w:w="8000"/>
            <w:shd w:fill="FFFFFF" w:val="clear"/>
            <w:tcMar>
              <w:top w:type="dxa" w:w="80"/>
              <w:left w:type="dxa" w:w="100"/>
              <w:bottom w:type="dxa" w:w="80"/>
              <w:right w:type="dxa" w:w="100"/>
            </w:tcMar>
          </w:tcPr>
          <w:p>
            <w:r>
              <w:rPr>
                <w:sz w:val="20"/>
                <w:szCs w:val="20"/>
              </w:rPr>
              <w:t xml:space="preserve">The business needs complete, centralized HR records for all teaching and non-teaching staff, including qualifications and documents.</w:t>
            </w:r>
          </w:p>
        </w:tc>
      </w:tr>
    </w:tbl>
    <w:p>
      <w:pPr>
        <w:pStyle w:val="Heading2"/>
        <w:spacing w:after="150" w:before="300"/>
      </w:pPr>
      <w:r>
        <w:t xml:space="preserve">6.4 Sponsorship &amp; Partnerships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BR-09</w:t>
            </w:r>
          </w:p>
        </w:tc>
        <w:tc>
          <w:tcPr>
            <w:tcW w:type="dxa" w:w="8000"/>
            <w:shd w:fill="FFFFFF" w:val="clear"/>
            <w:tcMar>
              <w:top w:type="dxa" w:w="80"/>
              <w:left w:type="dxa" w:w="100"/>
              <w:bottom w:type="dxa" w:w="80"/>
              <w:right w:type="dxa" w:w="100"/>
            </w:tcMar>
          </w:tcPr>
          <w:p>
            <w:r>
              <w:rPr>
                <w:sz w:val="20"/>
                <w:szCs w:val="20"/>
              </w:rPr>
              <w:t xml:space="preserve">The business needs to track sponsors (individuals, churches, ministries, NGOs, foundations, and general school sponsors) and their relationships to learners, groups, or school-wide programs.</w:t>
            </w:r>
          </w:p>
        </w:tc>
      </w:tr>
      <w:tr>
        <w:tc>
          <w:tcPr>
            <w:tcW w:type="dxa" w:w="1500"/>
            <w:shd w:fill="F2F2F2" w:val="clear"/>
            <w:tcMar>
              <w:top w:type="dxa" w:w="80"/>
              <w:left w:type="dxa" w:w="100"/>
              <w:bottom w:type="dxa" w:w="80"/>
              <w:right w:type="dxa" w:w="100"/>
            </w:tcMar>
          </w:tcPr>
          <w:p>
            <w:r>
              <w:rPr>
                <w:sz w:val="20"/>
                <w:szCs w:val="20"/>
              </w:rPr>
              <w:t xml:space="preserve">BR-10</w:t>
            </w:r>
          </w:p>
        </w:tc>
        <w:tc>
          <w:tcPr>
            <w:tcW w:type="dxa" w:w="8000"/>
            <w:shd w:fill="F2F2F2" w:val="clear"/>
            <w:tcMar>
              <w:top w:type="dxa" w:w="80"/>
              <w:left w:type="dxa" w:w="100"/>
              <w:bottom w:type="dxa" w:w="80"/>
              <w:right w:type="dxa" w:w="100"/>
            </w:tcMar>
          </w:tcPr>
          <w:p>
            <w:r>
              <w:rPr>
                <w:sz w:val="20"/>
                <w:szCs w:val="20"/>
              </w:rPr>
              <w:t xml:space="preserve">The business needs sponsorship information restricted to authorized roles only, given its sensitivity and importance to donor trust.</w:t>
            </w:r>
          </w:p>
        </w:tc>
      </w:tr>
      <w:tr>
        <w:tc>
          <w:tcPr>
            <w:tcW w:type="dxa" w:w="1500"/>
            <w:shd w:fill="FFFFFF" w:val="clear"/>
            <w:tcMar>
              <w:top w:type="dxa" w:w="80"/>
              <w:left w:type="dxa" w:w="100"/>
              <w:bottom w:type="dxa" w:w="80"/>
              <w:right w:type="dxa" w:w="100"/>
            </w:tcMar>
          </w:tcPr>
          <w:p>
            <w:r>
              <w:rPr>
                <w:sz w:val="20"/>
                <w:szCs w:val="20"/>
              </w:rPr>
              <w:t xml:space="preserve">BR-11</w:t>
            </w:r>
          </w:p>
        </w:tc>
        <w:tc>
          <w:tcPr>
            <w:tcW w:type="dxa" w:w="8000"/>
            <w:shd w:fill="FFFFFF" w:val="clear"/>
            <w:tcMar>
              <w:top w:type="dxa" w:w="80"/>
              <w:left w:type="dxa" w:w="100"/>
              <w:bottom w:type="dxa" w:w="80"/>
              <w:right w:type="dxa" w:w="100"/>
            </w:tcMar>
          </w:tcPr>
          <w:p>
            <w:r>
              <w:rPr>
                <w:sz w:val="20"/>
                <w:szCs w:val="20"/>
              </w:rPr>
              <w:t xml:space="preserve">The business needs to provide sponsors with transparent, self-service visibility into the learners or programs they support, without exposing information about other learners.</w:t>
            </w:r>
          </w:p>
        </w:tc>
      </w:tr>
    </w:tbl>
    <w:p>
      <w:pPr>
        <w:pStyle w:val="Heading2"/>
        <w:spacing w:after="150" w:before="300"/>
      </w:pPr>
      <w:r>
        <w:t xml:space="preserve">6.5 Parent Engagement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BR-12</w:t>
            </w:r>
          </w:p>
        </w:tc>
        <w:tc>
          <w:tcPr>
            <w:tcW w:type="dxa" w:w="8000"/>
            <w:shd w:fill="FFFFFF" w:val="clear"/>
            <w:tcMar>
              <w:top w:type="dxa" w:w="80"/>
              <w:left w:type="dxa" w:w="100"/>
              <w:bottom w:type="dxa" w:w="80"/>
              <w:right w:type="dxa" w:w="100"/>
            </w:tcMar>
          </w:tcPr>
          <w:p>
            <w:r>
              <w:rPr>
                <w:sz w:val="20"/>
                <w:szCs w:val="20"/>
              </w:rPr>
              <w:t xml:space="preserve">The business needs to give parents/guardians self-service access to their own children's attendance, academic progress, and report cards, reducing administrative workload on staff.</w:t>
            </w:r>
          </w:p>
        </w:tc>
      </w:tr>
    </w:tbl>
    <w:p>
      <w:pPr>
        <w:pStyle w:val="Heading2"/>
        <w:spacing w:after="150" w:before="300"/>
      </w:pPr>
      <w:r>
        <w:t xml:space="preserve">6.6 Communication &amp; Community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BR-13</w:t>
            </w:r>
          </w:p>
        </w:tc>
        <w:tc>
          <w:tcPr>
            <w:tcW w:type="dxa" w:w="8000"/>
            <w:shd w:fill="FFFFFF" w:val="clear"/>
            <w:tcMar>
              <w:top w:type="dxa" w:w="80"/>
              <w:left w:type="dxa" w:w="100"/>
              <w:bottom w:type="dxa" w:w="80"/>
              <w:right w:type="dxa" w:w="100"/>
            </w:tcMar>
          </w:tcPr>
          <w:p>
            <w:r>
              <w:rPr>
                <w:sz w:val="20"/>
                <w:szCs w:val="20"/>
              </w:rPr>
              <w:t xml:space="preserve">The business needs a reliable way to broadcast announcements and updates to parents, sponsors, and staff.</w:t>
            </w:r>
          </w:p>
        </w:tc>
      </w:tr>
      <w:tr>
        <w:tc>
          <w:tcPr>
            <w:tcW w:type="dxa" w:w="1500"/>
            <w:shd w:fill="F2F2F2" w:val="clear"/>
            <w:tcMar>
              <w:top w:type="dxa" w:w="80"/>
              <w:left w:type="dxa" w:w="100"/>
              <w:bottom w:type="dxa" w:w="80"/>
              <w:right w:type="dxa" w:w="100"/>
            </w:tcMar>
          </w:tcPr>
          <w:p>
            <w:r>
              <w:rPr>
                <w:sz w:val="20"/>
                <w:szCs w:val="20"/>
              </w:rPr>
              <w:t xml:space="preserve">BR-14</w:t>
            </w:r>
          </w:p>
        </w:tc>
        <w:tc>
          <w:tcPr>
            <w:tcW w:type="dxa" w:w="8000"/>
            <w:shd w:fill="F2F2F2" w:val="clear"/>
            <w:tcMar>
              <w:top w:type="dxa" w:w="80"/>
              <w:left w:type="dxa" w:w="100"/>
              <w:bottom w:type="dxa" w:w="80"/>
              <w:right w:type="dxa" w:w="100"/>
            </w:tcMar>
          </w:tcPr>
          <w:p>
            <w:r>
              <w:rPr>
                <w:sz w:val="20"/>
                <w:szCs w:val="20"/>
              </w:rPr>
              <w:t xml:space="preserve">The business needs to maintain records of visitors, volunteers, mission/church teams, and donors engaging with the school.</w:t>
            </w:r>
          </w:p>
        </w:tc>
      </w:tr>
    </w:tbl>
    <w:p>
      <w:pPr>
        <w:pStyle w:val="Heading2"/>
        <w:spacing w:after="150" w:before="300"/>
      </w:pPr>
      <w:r>
        <w:t xml:space="preserve">6.7 Reporting &amp; Oversight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BR-15</w:t>
            </w:r>
          </w:p>
        </w:tc>
        <w:tc>
          <w:tcPr>
            <w:tcW w:type="dxa" w:w="8000"/>
            <w:shd w:fill="FFFFFF" w:val="clear"/>
            <w:tcMar>
              <w:top w:type="dxa" w:w="80"/>
              <w:left w:type="dxa" w:w="100"/>
              <w:bottom w:type="dxa" w:w="80"/>
              <w:right w:type="dxa" w:w="100"/>
            </w:tcMar>
          </w:tcPr>
          <w:p>
            <w:r>
              <w:rPr>
                <w:sz w:val="20"/>
                <w:szCs w:val="20"/>
              </w:rPr>
              <w:t xml:space="preserve">The business needs consolidated, exportable reports (PDF/Excel) across students, academics, attendance, staff, sponsorship, and visitors for internal use and, where appropriate, sponsor reporting.</w:t>
            </w:r>
          </w:p>
        </w:tc>
      </w:tr>
      <w:tr>
        <w:tc>
          <w:tcPr>
            <w:tcW w:type="dxa" w:w="1500"/>
            <w:shd w:fill="F2F2F2" w:val="clear"/>
            <w:tcMar>
              <w:top w:type="dxa" w:w="80"/>
              <w:left w:type="dxa" w:w="100"/>
              <w:bottom w:type="dxa" w:w="80"/>
              <w:right w:type="dxa" w:w="100"/>
            </w:tcMar>
          </w:tcPr>
          <w:p>
            <w:r>
              <w:rPr>
                <w:sz w:val="20"/>
                <w:szCs w:val="20"/>
              </w:rPr>
              <w:t xml:space="preserve">BR-16</w:t>
            </w:r>
          </w:p>
        </w:tc>
        <w:tc>
          <w:tcPr>
            <w:tcW w:type="dxa" w:w="8000"/>
            <w:shd w:fill="F2F2F2" w:val="clear"/>
            <w:tcMar>
              <w:top w:type="dxa" w:w="80"/>
              <w:left w:type="dxa" w:w="100"/>
              <w:bottom w:type="dxa" w:w="80"/>
              <w:right w:type="dxa" w:w="100"/>
            </w:tcMar>
          </w:tcPr>
          <w:p>
            <w:r>
              <w:rPr>
                <w:sz w:val="20"/>
                <w:szCs w:val="20"/>
              </w:rPr>
              <w:t xml:space="preserve">The business needs role-specific dashboards so leadership and staff can see relevant information at a glance.</w:t>
            </w:r>
          </w:p>
        </w:tc>
      </w:tr>
    </w:tbl>
    <w:p>
      <w:pPr>
        <w:pStyle w:val="Heading2"/>
        <w:spacing w:after="150" w:before="300"/>
      </w:pPr>
      <w:r>
        <w:t xml:space="preserve">6.8 Governance &amp; Security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ID</w:t>
            </w:r>
          </w:p>
        </w:tc>
        <w:tc>
          <w:tcPr>
            <w:tcW w:type="dxa" w:w="8000"/>
            <w:shd w:fill="1F3864" w:val="clear"/>
            <w:tcMar>
              <w:top w:type="dxa" w:w="80"/>
              <w:left w:type="dxa" w:w="100"/>
              <w:bottom w:type="dxa" w:w="80"/>
              <w:right w:type="dxa" w:w="100"/>
            </w:tcMar>
          </w:tcPr>
          <w:p>
            <w:r>
              <w:rPr>
                <w:b/>
                <w:bCs/>
                <w:color w:val="FFFFFF"/>
                <w:sz w:val="20"/>
                <w:szCs w:val="20"/>
              </w:rPr>
              <w:t xml:space="preserve">Business Requirement</w:t>
            </w:r>
          </w:p>
        </w:tc>
      </w:tr>
      <w:tr>
        <w:tc>
          <w:tcPr>
            <w:tcW w:type="dxa" w:w="1500"/>
            <w:shd w:fill="FFFFFF" w:val="clear"/>
            <w:tcMar>
              <w:top w:type="dxa" w:w="80"/>
              <w:left w:type="dxa" w:w="100"/>
              <w:bottom w:type="dxa" w:w="80"/>
              <w:right w:type="dxa" w:w="100"/>
            </w:tcMar>
          </w:tcPr>
          <w:p>
            <w:r>
              <w:rPr>
                <w:sz w:val="20"/>
                <w:szCs w:val="20"/>
              </w:rPr>
              <w:t xml:space="preserve">BR-17</w:t>
            </w:r>
          </w:p>
        </w:tc>
        <w:tc>
          <w:tcPr>
            <w:tcW w:type="dxa" w:w="8000"/>
            <w:shd w:fill="FFFFFF" w:val="clear"/>
            <w:tcMar>
              <w:top w:type="dxa" w:w="80"/>
              <w:left w:type="dxa" w:w="100"/>
              <w:bottom w:type="dxa" w:w="80"/>
              <w:right w:type="dxa" w:w="100"/>
            </w:tcMar>
          </w:tcPr>
          <w:p>
            <w:r>
              <w:rPr>
                <w:sz w:val="20"/>
                <w:szCs w:val="20"/>
              </w:rPr>
              <w:t xml:space="preserve">The business needs strict role-based access control so each user only sees information relevant to their responsibilities.</w:t>
            </w:r>
          </w:p>
        </w:tc>
      </w:tr>
      <w:tr>
        <w:tc>
          <w:tcPr>
            <w:tcW w:type="dxa" w:w="1500"/>
            <w:shd w:fill="F2F2F2" w:val="clear"/>
            <w:tcMar>
              <w:top w:type="dxa" w:w="80"/>
              <w:left w:type="dxa" w:w="100"/>
              <w:bottom w:type="dxa" w:w="80"/>
              <w:right w:type="dxa" w:w="100"/>
            </w:tcMar>
          </w:tcPr>
          <w:p>
            <w:r>
              <w:rPr>
                <w:sz w:val="20"/>
                <w:szCs w:val="20"/>
              </w:rPr>
              <w:t xml:space="preserve">BR-18</w:t>
            </w:r>
          </w:p>
        </w:tc>
        <w:tc>
          <w:tcPr>
            <w:tcW w:type="dxa" w:w="8000"/>
            <w:shd w:fill="F2F2F2" w:val="clear"/>
            <w:tcMar>
              <w:top w:type="dxa" w:w="80"/>
              <w:left w:type="dxa" w:w="100"/>
              <w:bottom w:type="dxa" w:w="80"/>
              <w:right w:type="dxa" w:w="100"/>
            </w:tcMar>
          </w:tcPr>
          <w:p>
            <w:r>
              <w:rPr>
                <w:sz w:val="20"/>
                <w:szCs w:val="20"/>
              </w:rPr>
              <w:t xml:space="preserve">The business needs an auditable trail of significant actions taken within the system.</w:t>
            </w:r>
          </w:p>
        </w:tc>
      </w:tr>
      <w:tr>
        <w:tc>
          <w:tcPr>
            <w:tcW w:type="dxa" w:w="1500"/>
            <w:shd w:fill="FFFFFF" w:val="clear"/>
            <w:tcMar>
              <w:top w:type="dxa" w:w="80"/>
              <w:left w:type="dxa" w:w="100"/>
              <w:bottom w:type="dxa" w:w="80"/>
              <w:right w:type="dxa" w:w="100"/>
            </w:tcMar>
          </w:tcPr>
          <w:p>
            <w:r>
              <w:rPr>
                <w:sz w:val="20"/>
                <w:szCs w:val="20"/>
              </w:rPr>
              <w:t xml:space="preserve">BR-19</w:t>
            </w:r>
          </w:p>
        </w:tc>
        <w:tc>
          <w:tcPr>
            <w:tcW w:type="dxa" w:w="8000"/>
            <w:shd w:fill="FFFFFF" w:val="clear"/>
            <w:tcMar>
              <w:top w:type="dxa" w:w="80"/>
              <w:left w:type="dxa" w:w="100"/>
              <w:bottom w:type="dxa" w:w="80"/>
              <w:right w:type="dxa" w:w="100"/>
            </w:tcMar>
          </w:tcPr>
          <w:p>
            <w:r>
              <w:rPr>
                <w:sz w:val="20"/>
                <w:szCs w:val="20"/>
              </w:rPr>
              <w:t xml:space="preserve">The business needs the system and its data protected against common security threats (unauthorized access, data breaches, malicious input).</w:t>
            </w:r>
          </w:p>
        </w:tc>
      </w:tr>
      <w:tr>
        <w:tc>
          <w:tcPr>
            <w:tcW w:type="dxa" w:w="1500"/>
            <w:shd w:fill="F2F2F2" w:val="clear"/>
            <w:tcMar>
              <w:top w:type="dxa" w:w="80"/>
              <w:left w:type="dxa" w:w="100"/>
              <w:bottom w:type="dxa" w:w="80"/>
              <w:right w:type="dxa" w:w="100"/>
            </w:tcMar>
          </w:tcPr>
          <w:p>
            <w:r>
              <w:rPr>
                <w:sz w:val="20"/>
                <w:szCs w:val="20"/>
              </w:rPr>
              <w:t xml:space="preserve">BR-20</w:t>
            </w:r>
          </w:p>
        </w:tc>
        <w:tc>
          <w:tcPr>
            <w:tcW w:type="dxa" w:w="8000"/>
            <w:shd w:fill="F2F2F2" w:val="clear"/>
            <w:tcMar>
              <w:top w:type="dxa" w:w="80"/>
              <w:left w:type="dxa" w:w="100"/>
              <w:bottom w:type="dxa" w:w="80"/>
              <w:right w:type="dxa" w:w="100"/>
            </w:tcMar>
          </w:tcPr>
          <w:p>
            <w:r>
              <w:rPr>
                <w:sz w:val="20"/>
                <w:szCs w:val="20"/>
              </w:rPr>
              <w:t xml:space="preserve">The business needs the ability to back up and restore school data reliably.</w:t>
            </w:r>
          </w:p>
        </w:tc>
      </w:tr>
    </w:tbl>
    <w:p>
      <w:r>
        <w:br w:type="page"/>
      </w:r>
    </w:p>
    <w:p>
      <w:pPr>
        <w:pStyle w:val="Heading1"/>
        <w:spacing w:after="200" w:before="400"/>
      </w:pPr>
      <w:r>
        <w:t xml:space="preserve">7. Assumptions, Constraints &amp; Risks</w:t>
      </w:r>
    </w:p>
    <w:p>
      <w:pPr>
        <w:pStyle w:val="Heading2"/>
        <w:spacing w:after="150" w:before="300"/>
      </w:pPr>
      <w:r>
        <w:t xml:space="preserve">7.1 Assumptions</w:t>
      </w:r>
    </w:p>
    <w:p>
      <w:pPr>
        <w:pStyle w:val="ListParagraph"/>
        <w:numPr>
          <w:ilvl w:val="0"/>
          <w:numId w:val="1"/>
        </w:numPr>
        <w:spacing w:after="60"/>
      </w:pPr>
      <w:r>
        <w:t xml:space="preserve">School leadership will designate a System Administrator to own configuration and user provisioning at launch.</w:t>
      </w:r>
    </w:p>
    <w:p>
      <w:pPr>
        <w:pStyle w:val="ListParagraph"/>
        <w:numPr>
          <w:ilvl w:val="0"/>
          <w:numId w:val="1"/>
        </w:numPr>
        <w:spacing w:after="60"/>
      </w:pPr>
      <w:r>
        <w:t xml:space="preserve">The school will supply its official CBC grading/competency rating scale and report card format for implementation.</w:t>
      </w:r>
    </w:p>
    <w:p>
      <w:pPr>
        <w:pStyle w:val="ListParagraph"/>
        <w:numPr>
          <w:ilvl w:val="0"/>
          <w:numId w:val="1"/>
        </w:numPr>
        <w:spacing w:after="60"/>
      </w:pPr>
      <w:r>
        <w:t xml:space="preserve">Staff, parents, and sponsors have or can gain access to an internet-connected device for system use.</w:t>
      </w:r>
    </w:p>
    <w:p>
      <w:pPr>
        <w:pStyle w:val="ListParagraph"/>
        <w:numPr>
          <w:ilvl w:val="0"/>
          <w:numId w:val="1"/>
        </w:numPr>
        <w:spacing w:after="60"/>
      </w:pPr>
      <w:r>
        <w:t xml:space="preserve">The school will provide branding assets (logo, official information) for configuration.</w:t>
      </w:r>
    </w:p>
    <w:p>
      <w:pPr>
        <w:pStyle w:val="Heading2"/>
        <w:spacing w:after="150" w:before="300"/>
      </w:pPr>
      <w:r>
        <w:t xml:space="preserve">7.2 Constraints</w:t>
      </w:r>
    </w:p>
    <w:p>
      <w:pPr>
        <w:pStyle w:val="ListParagraph"/>
        <w:numPr>
          <w:ilvl w:val="0"/>
          <w:numId w:val="1"/>
        </w:numPr>
        <w:spacing w:after="60"/>
      </w:pPr>
      <w:r>
        <w:t xml:space="preserve">The system must not include a traditional fee billing/collection module; all financial support tracking is limited to sponsorship management.</w:t>
      </w:r>
    </w:p>
    <w:p>
      <w:pPr>
        <w:pStyle w:val="ListParagraph"/>
        <w:numPr>
          <w:ilvl w:val="0"/>
          <w:numId w:val="1"/>
        </w:numPr>
        <w:spacing w:after="60"/>
      </w:pPr>
      <w:r>
        <w:t xml:space="preserve">Initial release excludes SMS and M-Pesa integrations; these are explicitly deferred.</w:t>
      </w:r>
    </w:p>
    <w:p>
      <w:pPr>
        <w:pStyle w:val="ListParagraph"/>
        <w:numPr>
          <w:ilvl w:val="0"/>
          <w:numId w:val="1"/>
        </w:numPr>
        <w:spacing w:after="60"/>
      </w:pPr>
      <w:r>
        <w:t xml:space="preserve">The project must use a relational MySQL database per the school's stated technical direction.</w:t>
      </w:r>
    </w:p>
    <w:p>
      <w:pPr>
        <w:pStyle w:val="Heading2"/>
        <w:spacing w:after="150" w:before="300"/>
      </w:pPr>
      <w:r>
        <w:t xml:space="preserve">7.3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700"/>
      </w:tblGrid>
      <w:tr>
        <w:trPr>
          <w:tblHeader/>
        </w:trPr>
        <w:tc>
          <w:tcPr>
            <w:tcW w:type="dxa" w:w="3300"/>
            <w:shd w:fill="1F3864" w:val="clear"/>
            <w:tcMar>
              <w:top w:type="dxa" w:w="80"/>
              <w:left w:type="dxa" w:w="100"/>
              <w:bottom w:type="dxa" w:w="80"/>
              <w:right w:type="dxa" w:w="100"/>
            </w:tcMar>
          </w:tcPr>
          <w:p>
            <w:r>
              <w:rPr>
                <w:b/>
                <w:bCs/>
                <w:color w:val="FFFFFF"/>
                <w:sz w:val="20"/>
                <w:szCs w:val="20"/>
              </w:rPr>
              <w:t xml:space="preserve">Risk</w:t>
            </w:r>
          </w:p>
        </w:tc>
        <w:tc>
          <w:tcPr>
            <w:tcW w:type="dxa" w:w="1500"/>
            <w:shd w:fill="1F3864" w:val="clear"/>
            <w:tcMar>
              <w:top w:type="dxa" w:w="80"/>
              <w:left w:type="dxa" w:w="100"/>
              <w:bottom w:type="dxa" w:w="80"/>
              <w:right w:type="dxa" w:w="100"/>
            </w:tcMar>
          </w:tcPr>
          <w:p>
            <w:r>
              <w:rPr>
                <w:b/>
                <w:bCs/>
                <w:color w:val="FFFFFF"/>
                <w:sz w:val="20"/>
                <w:szCs w:val="20"/>
              </w:rPr>
              <w:t xml:space="preserve">Impact</w:t>
            </w:r>
          </w:p>
        </w:tc>
        <w:tc>
          <w:tcPr>
            <w:tcW w:type="dxa" w:w="4700"/>
            <w:shd w:fill="1F3864" w:val="clear"/>
            <w:tcMar>
              <w:top w:type="dxa" w:w="80"/>
              <w:left w:type="dxa" w:w="100"/>
              <w:bottom w:type="dxa" w:w="80"/>
              <w:right w:type="dxa" w:w="100"/>
            </w:tcMar>
          </w:tcPr>
          <w:p>
            <w:r>
              <w:rPr>
                <w:b/>
                <w:bCs/>
                <w:color w:val="FFFFFF"/>
                <w:sz w:val="20"/>
                <w:szCs w:val="20"/>
              </w:rPr>
              <w:t xml:space="preserve">Mitigation</w:t>
            </w:r>
          </w:p>
        </w:tc>
      </w:tr>
      <w:tr>
        <w:tc>
          <w:tcPr>
            <w:tcW w:type="dxa" w:w="3300"/>
            <w:shd w:fill="FFFFFF" w:val="clear"/>
            <w:tcMar>
              <w:top w:type="dxa" w:w="80"/>
              <w:left w:type="dxa" w:w="100"/>
              <w:bottom w:type="dxa" w:w="80"/>
              <w:right w:type="dxa" w:w="100"/>
            </w:tcMar>
          </w:tcPr>
          <w:p>
            <w:r>
              <w:rPr>
                <w:sz w:val="20"/>
                <w:szCs w:val="20"/>
              </w:rPr>
              <w:t xml:space="preserve">Low digital literacy among some staff, parents, or sponsors slows adoption</w:t>
            </w:r>
          </w:p>
        </w:tc>
        <w:tc>
          <w:tcPr>
            <w:tcW w:type="dxa" w:w="1500"/>
            <w:shd w:fill="FFFFFF" w:val="clear"/>
            <w:tcMar>
              <w:top w:type="dxa" w:w="80"/>
              <w:left w:type="dxa" w:w="100"/>
              <w:bottom w:type="dxa" w:w="80"/>
              <w:right w:type="dxa" w:w="100"/>
            </w:tcMar>
          </w:tcPr>
          <w:p>
            <w:r>
              <w:rPr>
                <w:sz w:val="20"/>
                <w:szCs w:val="20"/>
              </w:rPr>
              <w:t xml:space="preserve">Medium</w:t>
            </w:r>
          </w:p>
        </w:tc>
        <w:tc>
          <w:tcPr>
            <w:tcW w:type="dxa" w:w="4700"/>
            <w:shd w:fill="FFFFFF" w:val="clear"/>
            <w:tcMar>
              <w:top w:type="dxa" w:w="80"/>
              <w:left w:type="dxa" w:w="100"/>
              <w:bottom w:type="dxa" w:w="80"/>
              <w:right w:type="dxa" w:w="100"/>
            </w:tcMar>
          </w:tcPr>
          <w:p>
            <w:r>
              <w:rPr>
                <w:sz w:val="20"/>
                <w:szCs w:val="20"/>
              </w:rPr>
              <w:t xml:space="preserve">Simple, intuitive UI; staff training sessions; phased rollout with support</w:t>
            </w:r>
          </w:p>
        </w:tc>
      </w:tr>
      <w:tr>
        <w:tc>
          <w:tcPr>
            <w:tcW w:type="dxa" w:w="3300"/>
            <w:shd w:fill="F2F2F2" w:val="clear"/>
            <w:tcMar>
              <w:top w:type="dxa" w:w="80"/>
              <w:left w:type="dxa" w:w="100"/>
              <w:bottom w:type="dxa" w:w="80"/>
              <w:right w:type="dxa" w:w="100"/>
            </w:tcMar>
          </w:tcPr>
          <w:p>
            <w:r>
              <w:rPr>
                <w:sz w:val="20"/>
                <w:szCs w:val="20"/>
              </w:rPr>
              <w:t xml:space="preserve">Incomplete or inconsistent historical data migration from paper records</w:t>
            </w:r>
          </w:p>
        </w:tc>
        <w:tc>
          <w:tcPr>
            <w:tcW w:type="dxa" w:w="1500"/>
            <w:shd w:fill="F2F2F2" w:val="clear"/>
            <w:tcMar>
              <w:top w:type="dxa" w:w="80"/>
              <w:left w:type="dxa" w:w="100"/>
              <w:bottom w:type="dxa" w:w="80"/>
              <w:right w:type="dxa" w:w="100"/>
            </w:tcMar>
          </w:tcPr>
          <w:p>
            <w:r>
              <w:rPr>
                <w:sz w:val="20"/>
                <w:szCs w:val="20"/>
              </w:rPr>
              <w:t xml:space="preserve">Medium</w:t>
            </w:r>
          </w:p>
        </w:tc>
        <w:tc>
          <w:tcPr>
            <w:tcW w:type="dxa" w:w="4700"/>
            <w:shd w:fill="F2F2F2" w:val="clear"/>
            <w:tcMar>
              <w:top w:type="dxa" w:w="80"/>
              <w:left w:type="dxa" w:w="100"/>
              <w:bottom w:type="dxa" w:w="80"/>
              <w:right w:type="dxa" w:w="100"/>
            </w:tcMar>
          </w:tcPr>
          <w:p>
            <w:r>
              <w:rPr>
                <w:sz w:val="20"/>
                <w:szCs w:val="20"/>
              </w:rPr>
              <w:t xml:space="preserve">Structured, phased data entry plan; validation rules; dedicated data-entry period before go-live</w:t>
            </w:r>
          </w:p>
        </w:tc>
      </w:tr>
      <w:tr>
        <w:tc>
          <w:tcPr>
            <w:tcW w:type="dxa" w:w="3300"/>
            <w:shd w:fill="FFFFFF" w:val="clear"/>
            <w:tcMar>
              <w:top w:type="dxa" w:w="80"/>
              <w:left w:type="dxa" w:w="100"/>
              <w:bottom w:type="dxa" w:w="80"/>
              <w:right w:type="dxa" w:w="100"/>
            </w:tcMar>
          </w:tcPr>
          <w:p>
            <w:r>
              <w:rPr>
                <w:sz w:val="20"/>
                <w:szCs w:val="20"/>
              </w:rPr>
              <w:t xml:space="preserve">Sensitive data (medical, sponsorship) exposed due to misconfigured permissions</w:t>
            </w:r>
          </w:p>
        </w:tc>
        <w:tc>
          <w:tcPr>
            <w:tcW w:type="dxa" w:w="1500"/>
            <w:shd w:fill="FFFFFF" w:val="clear"/>
            <w:tcMar>
              <w:top w:type="dxa" w:w="80"/>
              <w:left w:type="dxa" w:w="100"/>
              <w:bottom w:type="dxa" w:w="80"/>
              <w:right w:type="dxa" w:w="100"/>
            </w:tcMar>
          </w:tcPr>
          <w:p>
            <w:r>
              <w:rPr>
                <w:sz w:val="20"/>
                <w:szCs w:val="20"/>
              </w:rPr>
              <w:t xml:space="preserve">High</w:t>
            </w:r>
          </w:p>
        </w:tc>
        <w:tc>
          <w:tcPr>
            <w:tcW w:type="dxa" w:w="4700"/>
            <w:shd w:fill="FFFFFF" w:val="clear"/>
            <w:tcMar>
              <w:top w:type="dxa" w:w="80"/>
              <w:left w:type="dxa" w:w="100"/>
              <w:bottom w:type="dxa" w:w="80"/>
              <w:right w:type="dxa" w:w="100"/>
            </w:tcMar>
          </w:tcPr>
          <w:p>
            <w:r>
              <w:rPr>
                <w:sz w:val="20"/>
                <w:szCs w:val="20"/>
              </w:rPr>
              <w:t xml:space="preserve">Strict RBAC design, access audits, and security testing prior to go-live</w:t>
            </w:r>
          </w:p>
        </w:tc>
      </w:tr>
      <w:tr>
        <w:tc>
          <w:tcPr>
            <w:tcW w:type="dxa" w:w="3300"/>
            <w:shd w:fill="F2F2F2" w:val="clear"/>
            <w:tcMar>
              <w:top w:type="dxa" w:w="80"/>
              <w:left w:type="dxa" w:w="100"/>
              <w:bottom w:type="dxa" w:w="80"/>
              <w:right w:type="dxa" w:w="100"/>
            </w:tcMar>
          </w:tcPr>
          <w:p>
            <w:r>
              <w:rPr>
                <w:sz w:val="20"/>
                <w:szCs w:val="20"/>
              </w:rPr>
              <w:t xml:space="preserve">Scope creep from stakeholders requesting fee-billing features</w:t>
            </w:r>
          </w:p>
        </w:tc>
        <w:tc>
          <w:tcPr>
            <w:tcW w:type="dxa" w:w="1500"/>
            <w:shd w:fill="F2F2F2" w:val="clear"/>
            <w:tcMar>
              <w:top w:type="dxa" w:w="80"/>
              <w:left w:type="dxa" w:w="100"/>
              <w:bottom w:type="dxa" w:w="80"/>
              <w:right w:type="dxa" w:w="100"/>
            </w:tcMar>
          </w:tcPr>
          <w:p>
            <w:r>
              <w:rPr>
                <w:sz w:val="20"/>
                <w:szCs w:val="20"/>
              </w:rPr>
              <w:t xml:space="preserve">Medium</w:t>
            </w:r>
          </w:p>
        </w:tc>
        <w:tc>
          <w:tcPr>
            <w:tcW w:type="dxa" w:w="4700"/>
            <w:shd w:fill="F2F2F2" w:val="clear"/>
            <w:tcMar>
              <w:top w:type="dxa" w:w="80"/>
              <w:left w:type="dxa" w:w="100"/>
              <w:bottom w:type="dxa" w:w="80"/>
              <w:right w:type="dxa" w:w="100"/>
            </w:tcMar>
          </w:tcPr>
          <w:p>
            <w:r>
              <w:rPr>
                <w:sz w:val="20"/>
                <w:szCs w:val="20"/>
              </w:rPr>
              <w:t xml:space="preserve">Reaffirm sponsorship-only financial model in governance; change-control process for scope changes</w:t>
            </w:r>
          </w:p>
        </w:tc>
      </w:tr>
      <w:tr>
        <w:tc>
          <w:tcPr>
            <w:tcW w:type="dxa" w:w="3300"/>
            <w:shd w:fill="FFFFFF" w:val="clear"/>
            <w:tcMar>
              <w:top w:type="dxa" w:w="80"/>
              <w:left w:type="dxa" w:w="100"/>
              <w:bottom w:type="dxa" w:w="80"/>
              <w:right w:type="dxa" w:w="100"/>
            </w:tcMar>
          </w:tcPr>
          <w:p>
            <w:r>
              <w:rPr>
                <w:sz w:val="20"/>
                <w:szCs w:val="20"/>
              </w:rPr>
              <w:t xml:space="preserve">Connectivity issues at the school affecting daily use</w:t>
            </w:r>
          </w:p>
        </w:tc>
        <w:tc>
          <w:tcPr>
            <w:tcW w:type="dxa" w:w="1500"/>
            <w:shd w:fill="FFFFFF" w:val="clear"/>
            <w:tcMar>
              <w:top w:type="dxa" w:w="80"/>
              <w:left w:type="dxa" w:w="100"/>
              <w:bottom w:type="dxa" w:w="80"/>
              <w:right w:type="dxa" w:w="100"/>
            </w:tcMar>
          </w:tcPr>
          <w:p>
            <w:r>
              <w:rPr>
                <w:sz w:val="20"/>
                <w:szCs w:val="20"/>
              </w:rPr>
              <w:t xml:space="preserve">Medium</w:t>
            </w:r>
          </w:p>
        </w:tc>
        <w:tc>
          <w:tcPr>
            <w:tcW w:type="dxa" w:w="4700"/>
            <w:shd w:fill="FFFFFF" w:val="clear"/>
            <w:tcMar>
              <w:top w:type="dxa" w:w="80"/>
              <w:left w:type="dxa" w:w="100"/>
              <w:bottom w:type="dxa" w:w="80"/>
              <w:right w:type="dxa" w:w="100"/>
            </w:tcMar>
          </w:tcPr>
          <w:p>
            <w:r>
              <w:rPr>
                <w:sz w:val="20"/>
                <w:szCs w:val="20"/>
              </w:rPr>
              <w:t xml:space="preserve">Optimize for low-bandwidth use; consider offline-friendly patterns for critical daily tasks (e.g., attendance)</w:t>
            </w:r>
          </w:p>
        </w:tc>
      </w:tr>
    </w:tbl>
    <w:p>
      <w:r>
        <w:br w:type="page"/>
      </w:r>
    </w:p>
    <w:p>
      <w:pPr>
        <w:pStyle w:val="Heading1"/>
        <w:spacing w:after="200" w:before="400"/>
      </w:pPr>
      <w:r>
        <w:t xml:space="preserve">8. Expected Business Benefits</w:t>
      </w:r>
    </w:p>
    <w:p>
      <w:pPr>
        <w:pStyle w:val="ListParagraph"/>
        <w:numPr>
          <w:ilvl w:val="0"/>
          <w:numId w:val="1"/>
        </w:numPr>
        <w:spacing w:after="60"/>
      </w:pPr>
      <w:r>
        <w:t xml:space="preserve">Reduced administrative workload and paperwork through digitization of core processes</w:t>
      </w:r>
    </w:p>
    <w:p>
      <w:pPr>
        <w:pStyle w:val="ListParagraph"/>
        <w:numPr>
          <w:ilvl w:val="0"/>
          <w:numId w:val="1"/>
        </w:numPr>
        <w:spacing w:after="60"/>
      </w:pPr>
      <w:r>
        <w:t xml:space="preserve">Improved data accuracy, consistency, and retrievability across academic years</w:t>
      </w:r>
    </w:p>
    <w:p>
      <w:pPr>
        <w:pStyle w:val="ListParagraph"/>
        <w:numPr>
          <w:ilvl w:val="0"/>
          <w:numId w:val="1"/>
        </w:numPr>
        <w:spacing w:after="60"/>
      </w:pPr>
      <w:r>
        <w:t xml:space="preserve">Stronger sponsor trust and retention through transparent, self-service reporting</w:t>
      </w:r>
    </w:p>
    <w:p>
      <w:pPr>
        <w:pStyle w:val="ListParagraph"/>
        <w:numPr>
          <w:ilvl w:val="0"/>
          <w:numId w:val="1"/>
        </w:numPr>
        <w:spacing w:after="60"/>
      </w:pPr>
      <w:r>
        <w:t xml:space="preserve">Faster, more consistent CBC report card generation for parents and sponsors</w:t>
      </w:r>
    </w:p>
    <w:p>
      <w:pPr>
        <w:pStyle w:val="ListParagraph"/>
        <w:numPr>
          <w:ilvl w:val="0"/>
          <w:numId w:val="1"/>
        </w:numPr>
        <w:spacing w:after="60"/>
      </w:pPr>
      <w:r>
        <w:t xml:space="preserve">Improved decision-making through real-time dashboards and consolidated reporting</w:t>
      </w:r>
    </w:p>
    <w:p>
      <w:pPr>
        <w:pStyle w:val="ListParagraph"/>
        <w:numPr>
          <w:ilvl w:val="0"/>
          <w:numId w:val="1"/>
        </w:numPr>
        <w:spacing w:after="60"/>
      </w:pPr>
      <w:r>
        <w:t xml:space="preserve">A secure, auditable system reducing the risk of data loss or unauthorized access</w:t>
      </w:r>
    </w:p>
    <w:p>
      <w:pPr>
        <w:pStyle w:val="ListParagraph"/>
        <w:numPr>
          <w:ilvl w:val="0"/>
          <w:numId w:val="1"/>
        </w:numPr>
        <w:spacing w:after="60"/>
      </w:pPr>
      <w:r>
        <w:t xml:space="preserve">A scalable foundation that supports the school's future growth and additional modules</w:t>
      </w:r>
    </w:p>
    <w:p>
      <w:r>
        <w:br w:type="page"/>
      </w:r>
    </w:p>
    <w:p>
      <w:pPr>
        <w:pStyle w:val="Heading1"/>
        <w:spacing w:after="200" w:before="400"/>
      </w:pPr>
      <w:r>
        <w:t xml:space="preserve">9. High-Level Timeline Overview</w:t>
      </w:r>
    </w:p>
    <w:p>
      <w:pPr>
        <w:spacing w:after="150"/>
      </w:pPr>
      <w:r>
        <w:t xml:space="preserve">A detailed phase-by-phase schedule is provided in the companion Development Roadmap document. At a business level, the project is expected to proceed through the following stages: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Stage</w:t>
            </w:r>
          </w:p>
        </w:tc>
        <w:tc>
          <w:tcPr>
            <w:tcW w:type="dxa" w:w="6900"/>
            <w:shd w:fill="1F3864" w:val="clear"/>
            <w:tcMar>
              <w:top w:type="dxa" w:w="80"/>
              <w:left w:type="dxa" w:w="100"/>
              <w:bottom w:type="dxa" w:w="80"/>
              <w:right w:type="dxa" w:w="100"/>
            </w:tcMar>
          </w:tcPr>
          <w:p>
            <w:r>
              <w:rPr>
                <w:b/>
                <w:bCs/>
                <w:color w:val="FFFFFF"/>
                <w:sz w:val="20"/>
                <w:szCs w:val="20"/>
              </w:rPr>
              <w:t xml:space="preserve">Business Milestone</w:t>
            </w:r>
          </w:p>
        </w:tc>
      </w:tr>
      <w:tr>
        <w:tc>
          <w:tcPr>
            <w:tcW w:type="dxa" w:w="2600"/>
            <w:shd w:fill="FFFFFF" w:val="clear"/>
            <w:tcMar>
              <w:top w:type="dxa" w:w="80"/>
              <w:left w:type="dxa" w:w="100"/>
              <w:bottom w:type="dxa" w:w="80"/>
              <w:right w:type="dxa" w:w="100"/>
            </w:tcMar>
          </w:tcPr>
          <w:p>
            <w:r>
              <w:rPr>
                <w:sz w:val="20"/>
                <w:szCs w:val="20"/>
              </w:rPr>
              <w:t xml:space="preserve">Requirements &amp; Design</w:t>
            </w:r>
          </w:p>
        </w:tc>
        <w:tc>
          <w:tcPr>
            <w:tcW w:type="dxa" w:w="6900"/>
            <w:shd w:fill="FFFFFF" w:val="clear"/>
            <w:tcMar>
              <w:top w:type="dxa" w:w="80"/>
              <w:left w:type="dxa" w:w="100"/>
              <w:bottom w:type="dxa" w:w="80"/>
              <w:right w:type="dxa" w:w="100"/>
            </w:tcMar>
          </w:tcPr>
          <w:p>
            <w:r>
              <w:rPr>
                <w:sz w:val="20"/>
                <w:szCs w:val="20"/>
              </w:rPr>
              <w:t xml:space="preserve">This BRD, the SRS, and supporting design artifacts reviewed and approved by school leadership</w:t>
            </w:r>
          </w:p>
        </w:tc>
      </w:tr>
      <w:tr>
        <w:tc>
          <w:tcPr>
            <w:tcW w:type="dxa" w:w="2600"/>
            <w:shd w:fill="F2F2F2" w:val="clear"/>
            <w:tcMar>
              <w:top w:type="dxa" w:w="80"/>
              <w:left w:type="dxa" w:w="100"/>
              <w:bottom w:type="dxa" w:w="80"/>
              <w:right w:type="dxa" w:w="100"/>
            </w:tcMar>
          </w:tcPr>
          <w:p>
            <w:r>
              <w:rPr>
                <w:sz w:val="20"/>
                <w:szCs w:val="20"/>
              </w:rPr>
              <w:t xml:space="preserve">Core Build</w:t>
            </w:r>
          </w:p>
        </w:tc>
        <w:tc>
          <w:tcPr>
            <w:tcW w:type="dxa" w:w="6900"/>
            <w:shd w:fill="F2F2F2" w:val="clear"/>
            <w:tcMar>
              <w:top w:type="dxa" w:w="80"/>
              <w:left w:type="dxa" w:w="100"/>
              <w:bottom w:type="dxa" w:w="80"/>
              <w:right w:type="dxa" w:w="100"/>
            </w:tcMar>
          </w:tcPr>
          <w:p>
            <w:r>
              <w:rPr>
                <w:sz w:val="20"/>
                <w:szCs w:val="20"/>
              </w:rPr>
              <w:t xml:space="preserve">Authentication, Student Management, Academic Management, and Administration modules operational</w:t>
            </w:r>
          </w:p>
        </w:tc>
      </w:tr>
      <w:tr>
        <w:tc>
          <w:tcPr>
            <w:tcW w:type="dxa" w:w="2600"/>
            <w:shd w:fill="FFFFFF" w:val="clear"/>
            <w:tcMar>
              <w:top w:type="dxa" w:w="80"/>
              <w:left w:type="dxa" w:w="100"/>
              <w:bottom w:type="dxa" w:w="80"/>
              <w:right w:type="dxa" w:w="100"/>
            </w:tcMar>
          </w:tcPr>
          <w:p>
            <w:r>
              <w:rPr>
                <w:sz w:val="20"/>
                <w:szCs w:val="20"/>
              </w:rPr>
              <w:t xml:space="preserve">Academic &amp; Sponsorship Build</w:t>
            </w:r>
          </w:p>
        </w:tc>
        <w:tc>
          <w:tcPr>
            <w:tcW w:type="dxa" w:w="6900"/>
            <w:shd w:fill="FFFFFF" w:val="clear"/>
            <w:tcMar>
              <w:top w:type="dxa" w:w="80"/>
              <w:left w:type="dxa" w:w="100"/>
              <w:bottom w:type="dxa" w:w="80"/>
              <w:right w:type="dxa" w:w="100"/>
            </w:tcMar>
          </w:tcPr>
          <w:p>
            <w:r>
              <w:rPr>
                <w:sz w:val="20"/>
                <w:szCs w:val="20"/>
              </w:rPr>
              <w:t xml:space="preserve">CBC Assessment, Attendance, HR, and Sponsorship modules operational</w:t>
            </w:r>
          </w:p>
        </w:tc>
      </w:tr>
      <w:tr>
        <w:tc>
          <w:tcPr>
            <w:tcW w:type="dxa" w:w="2600"/>
            <w:shd w:fill="F2F2F2" w:val="clear"/>
            <w:tcMar>
              <w:top w:type="dxa" w:w="80"/>
              <w:left w:type="dxa" w:w="100"/>
              <w:bottom w:type="dxa" w:w="80"/>
              <w:right w:type="dxa" w:w="100"/>
            </w:tcMar>
          </w:tcPr>
          <w:p>
            <w:r>
              <w:rPr>
                <w:sz w:val="20"/>
                <w:szCs w:val="20"/>
              </w:rPr>
              <w:t xml:space="preserve">Portals &amp; Communication</w:t>
            </w:r>
          </w:p>
        </w:tc>
        <w:tc>
          <w:tcPr>
            <w:tcW w:type="dxa" w:w="6900"/>
            <w:shd w:fill="F2F2F2" w:val="clear"/>
            <w:tcMar>
              <w:top w:type="dxa" w:w="80"/>
              <w:left w:type="dxa" w:w="100"/>
              <w:bottom w:type="dxa" w:w="80"/>
              <w:right w:type="dxa" w:w="100"/>
            </w:tcMar>
          </w:tcPr>
          <w:p>
            <w:r>
              <w:rPr>
                <w:sz w:val="20"/>
                <w:szCs w:val="20"/>
              </w:rPr>
              <w:t xml:space="preserve">Parent Portal, Sponsor Portal, Communication, and Visitor/Volunteer modules operational</w:t>
            </w:r>
          </w:p>
        </w:tc>
      </w:tr>
      <w:tr>
        <w:tc>
          <w:tcPr>
            <w:tcW w:type="dxa" w:w="2600"/>
            <w:shd w:fill="FFFFFF" w:val="clear"/>
            <w:tcMar>
              <w:top w:type="dxa" w:w="80"/>
              <w:left w:type="dxa" w:w="100"/>
              <w:bottom w:type="dxa" w:w="80"/>
              <w:right w:type="dxa" w:w="100"/>
            </w:tcMar>
          </w:tcPr>
          <w:p>
            <w:r>
              <w:rPr>
                <w:sz w:val="20"/>
                <w:szCs w:val="20"/>
              </w:rPr>
              <w:t xml:space="preserve">Reporting &amp; Hardening</w:t>
            </w:r>
          </w:p>
        </w:tc>
        <w:tc>
          <w:tcPr>
            <w:tcW w:type="dxa" w:w="6900"/>
            <w:shd w:fill="FFFFFF" w:val="clear"/>
            <w:tcMar>
              <w:top w:type="dxa" w:w="80"/>
              <w:left w:type="dxa" w:w="100"/>
              <w:bottom w:type="dxa" w:w="80"/>
              <w:right w:type="dxa" w:w="100"/>
            </w:tcMar>
          </w:tcPr>
          <w:p>
            <w:r>
              <w:rPr>
                <w:sz w:val="20"/>
                <w:szCs w:val="20"/>
              </w:rPr>
              <w:t xml:space="preserve">Reporting module completed; security testing and performance tuning completed</w:t>
            </w:r>
          </w:p>
        </w:tc>
      </w:tr>
      <w:tr>
        <w:tc>
          <w:tcPr>
            <w:tcW w:type="dxa" w:w="2600"/>
            <w:shd w:fill="F2F2F2" w:val="clear"/>
            <w:tcMar>
              <w:top w:type="dxa" w:w="80"/>
              <w:left w:type="dxa" w:w="100"/>
              <w:bottom w:type="dxa" w:w="80"/>
              <w:right w:type="dxa" w:w="100"/>
            </w:tcMar>
          </w:tcPr>
          <w:p>
            <w:r>
              <w:rPr>
                <w:sz w:val="20"/>
                <w:szCs w:val="20"/>
              </w:rPr>
              <w:t xml:space="preserve">Pilot &amp; Training</w:t>
            </w:r>
          </w:p>
        </w:tc>
        <w:tc>
          <w:tcPr>
            <w:tcW w:type="dxa" w:w="6900"/>
            <w:shd w:fill="F2F2F2" w:val="clear"/>
            <w:tcMar>
              <w:top w:type="dxa" w:w="80"/>
              <w:left w:type="dxa" w:w="100"/>
              <w:bottom w:type="dxa" w:w="80"/>
              <w:right w:type="dxa" w:w="100"/>
            </w:tcMar>
          </w:tcPr>
          <w:p>
            <w:r>
              <w:rPr>
                <w:sz w:val="20"/>
                <w:szCs w:val="20"/>
              </w:rPr>
              <w:t xml:space="preserve">Staff training and a pilot run with real (or shadow) data</w:t>
            </w:r>
          </w:p>
        </w:tc>
      </w:tr>
      <w:tr>
        <w:tc>
          <w:tcPr>
            <w:tcW w:type="dxa" w:w="2600"/>
            <w:shd w:fill="FFFFFF" w:val="clear"/>
            <w:tcMar>
              <w:top w:type="dxa" w:w="80"/>
              <w:left w:type="dxa" w:w="100"/>
              <w:bottom w:type="dxa" w:w="80"/>
              <w:right w:type="dxa" w:w="100"/>
            </w:tcMar>
          </w:tcPr>
          <w:p>
            <w:r>
              <w:rPr>
                <w:sz w:val="20"/>
                <w:szCs w:val="20"/>
              </w:rPr>
              <w:t xml:space="preserve">Go-Live</w:t>
            </w:r>
          </w:p>
        </w:tc>
        <w:tc>
          <w:tcPr>
            <w:tcW w:type="dxa" w:w="6900"/>
            <w:shd w:fill="FFFFFF" w:val="clear"/>
            <w:tcMar>
              <w:top w:type="dxa" w:w="80"/>
              <w:left w:type="dxa" w:w="100"/>
              <w:bottom w:type="dxa" w:w="80"/>
              <w:right w:type="dxa" w:w="100"/>
            </w:tcMar>
          </w:tcPr>
          <w:p>
            <w:r>
              <w:rPr>
                <w:sz w:val="20"/>
                <w:szCs w:val="20"/>
              </w:rPr>
              <w:t xml:space="preserve">Full production rollout to staff, parents, and sponsors</w:t>
            </w:r>
          </w:p>
        </w:tc>
      </w:tr>
    </w:tbl>
    <w:p>
      <w:r>
        <w:br w:type="page"/>
      </w:r>
    </w:p>
    <w:p>
      <w:pPr>
        <w:pStyle w:val="Heading1"/>
        <w:spacing w:after="200" w:before="400"/>
      </w:pPr>
      <w:r>
        <w:t xml:space="preserve">10.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Term</w:t>
            </w:r>
          </w:p>
        </w:tc>
        <w:tc>
          <w:tcPr>
            <w:tcW w:type="dxa" w:w="6900"/>
            <w:shd w:fill="1F3864" w:val="clear"/>
            <w:tcMar>
              <w:top w:type="dxa" w:w="80"/>
              <w:left w:type="dxa" w:w="100"/>
              <w:bottom w:type="dxa" w:w="80"/>
              <w:right w:type="dxa" w:w="100"/>
            </w:tcMar>
          </w:tcPr>
          <w:p>
            <w:r>
              <w:rPr>
                <w:b/>
                <w:bCs/>
                <w:color w:val="FFFFFF"/>
                <w:sz w:val="20"/>
                <w:szCs w:val="20"/>
              </w:rPr>
              <w:t xml:space="preserve">Definition</w:t>
            </w:r>
          </w:p>
        </w:tc>
      </w:tr>
      <w:tr>
        <w:tc>
          <w:tcPr>
            <w:tcW w:type="dxa" w:w="2600"/>
            <w:shd w:fill="FFFFFF" w:val="clear"/>
            <w:tcMar>
              <w:top w:type="dxa" w:w="80"/>
              <w:left w:type="dxa" w:w="100"/>
              <w:bottom w:type="dxa" w:w="80"/>
              <w:right w:type="dxa" w:w="100"/>
            </w:tcMar>
          </w:tcPr>
          <w:p>
            <w:r>
              <w:rPr>
                <w:sz w:val="20"/>
                <w:szCs w:val="20"/>
              </w:rPr>
              <w:t xml:space="preserve">MGAEMS</w:t>
            </w:r>
          </w:p>
        </w:tc>
        <w:tc>
          <w:tcPr>
            <w:tcW w:type="dxa" w:w="6900"/>
            <w:shd w:fill="FFFFFF" w:val="clear"/>
            <w:tcMar>
              <w:top w:type="dxa" w:w="80"/>
              <w:left w:type="dxa" w:w="100"/>
              <w:bottom w:type="dxa" w:w="80"/>
              <w:right w:type="dxa" w:w="100"/>
            </w:tcMar>
          </w:tcPr>
          <w:p>
            <w:r>
              <w:rPr>
                <w:sz w:val="20"/>
                <w:szCs w:val="20"/>
              </w:rPr>
              <w:t xml:space="preserve">Manna Goodnews Academy Education Management System</w:t>
            </w:r>
          </w:p>
        </w:tc>
      </w:tr>
      <w:tr>
        <w:tc>
          <w:tcPr>
            <w:tcW w:type="dxa" w:w="2600"/>
            <w:shd w:fill="F2F2F2" w:val="clear"/>
            <w:tcMar>
              <w:top w:type="dxa" w:w="80"/>
              <w:left w:type="dxa" w:w="100"/>
              <w:bottom w:type="dxa" w:w="80"/>
              <w:right w:type="dxa" w:w="100"/>
            </w:tcMar>
          </w:tcPr>
          <w:p>
            <w:r>
              <w:rPr>
                <w:sz w:val="20"/>
                <w:szCs w:val="20"/>
              </w:rPr>
              <w:t xml:space="preserve">CBC</w:t>
            </w:r>
          </w:p>
        </w:tc>
        <w:tc>
          <w:tcPr>
            <w:tcW w:type="dxa" w:w="6900"/>
            <w:shd w:fill="F2F2F2" w:val="clear"/>
            <w:tcMar>
              <w:top w:type="dxa" w:w="80"/>
              <w:left w:type="dxa" w:w="100"/>
              <w:bottom w:type="dxa" w:w="80"/>
              <w:right w:type="dxa" w:w="100"/>
            </w:tcMar>
          </w:tcPr>
          <w:p>
            <w:r>
              <w:rPr>
                <w:sz w:val="20"/>
                <w:szCs w:val="20"/>
              </w:rPr>
              <w:t xml:space="preserve">Competency-Based Curriculum (Kenyan national curriculum framework)</w:t>
            </w:r>
          </w:p>
        </w:tc>
      </w:tr>
      <w:tr>
        <w:tc>
          <w:tcPr>
            <w:tcW w:type="dxa" w:w="2600"/>
            <w:shd w:fill="FFFFFF" w:val="clear"/>
            <w:tcMar>
              <w:top w:type="dxa" w:w="80"/>
              <w:left w:type="dxa" w:w="100"/>
              <w:bottom w:type="dxa" w:w="80"/>
              <w:right w:type="dxa" w:w="100"/>
            </w:tcMar>
          </w:tcPr>
          <w:p>
            <w:r>
              <w:rPr>
                <w:sz w:val="20"/>
                <w:szCs w:val="20"/>
              </w:rPr>
              <w:t xml:space="preserve">RBAC</w:t>
            </w:r>
          </w:p>
        </w:tc>
        <w:tc>
          <w:tcPr>
            <w:tcW w:type="dxa" w:w="6900"/>
            <w:shd w:fill="FFFFFF" w:val="clear"/>
            <w:tcMar>
              <w:top w:type="dxa" w:w="80"/>
              <w:left w:type="dxa" w:w="100"/>
              <w:bottom w:type="dxa" w:w="80"/>
              <w:right w:type="dxa" w:w="100"/>
            </w:tcMar>
          </w:tcPr>
          <w:p>
            <w:r>
              <w:rPr>
                <w:sz w:val="20"/>
                <w:szCs w:val="20"/>
              </w:rPr>
              <w:t xml:space="preserve">Role-Based Access Control</w:t>
            </w:r>
          </w:p>
        </w:tc>
      </w:tr>
      <w:tr>
        <w:tc>
          <w:tcPr>
            <w:tcW w:type="dxa" w:w="2600"/>
            <w:shd w:fill="F2F2F2" w:val="clear"/>
            <w:tcMar>
              <w:top w:type="dxa" w:w="80"/>
              <w:left w:type="dxa" w:w="100"/>
              <w:bottom w:type="dxa" w:w="80"/>
              <w:right w:type="dxa" w:w="100"/>
            </w:tcMar>
          </w:tcPr>
          <w:p>
            <w:r>
              <w:rPr>
                <w:sz w:val="20"/>
                <w:szCs w:val="20"/>
              </w:rPr>
              <w:t xml:space="preserve">Sponsor</w:t>
            </w:r>
          </w:p>
        </w:tc>
        <w:tc>
          <w:tcPr>
            <w:tcW w:type="dxa" w:w="6900"/>
            <w:shd w:fill="F2F2F2" w:val="clear"/>
            <w:tcMar>
              <w:top w:type="dxa" w:w="80"/>
              <w:left w:type="dxa" w:w="100"/>
              <w:bottom w:type="dxa" w:w="80"/>
              <w:right w:type="dxa" w:w="100"/>
            </w:tcMar>
          </w:tcPr>
          <w:p>
            <w:r>
              <w:rPr>
                <w:sz w:val="20"/>
                <w:szCs w:val="20"/>
              </w:rPr>
              <w:t xml:space="preserve">An individual, church, ministry, NGO, foundation, or organization providing support to a learner, group, or the school</w:t>
            </w:r>
          </w:p>
        </w:tc>
      </w:tr>
      <w:tr>
        <w:tc>
          <w:tcPr>
            <w:tcW w:type="dxa" w:w="2600"/>
            <w:shd w:fill="FFFFFF" w:val="clear"/>
            <w:tcMar>
              <w:top w:type="dxa" w:w="80"/>
              <w:left w:type="dxa" w:w="100"/>
              <w:bottom w:type="dxa" w:w="80"/>
              <w:right w:type="dxa" w:w="100"/>
            </w:tcMar>
          </w:tcPr>
          <w:p>
            <w:r>
              <w:rPr>
                <w:sz w:val="20"/>
                <w:szCs w:val="20"/>
              </w:rPr>
              <w:t xml:space="preserve">Sponsorship Coordinator</w:t>
            </w:r>
          </w:p>
        </w:tc>
        <w:tc>
          <w:tcPr>
            <w:tcW w:type="dxa" w:w="6900"/>
            <w:shd w:fill="FFFFFF" w:val="clear"/>
            <w:tcMar>
              <w:top w:type="dxa" w:w="80"/>
              <w:left w:type="dxa" w:w="100"/>
              <w:bottom w:type="dxa" w:w="80"/>
              <w:right w:type="dxa" w:w="100"/>
            </w:tcMar>
          </w:tcPr>
          <w:p>
            <w:r>
              <w:rPr>
                <w:sz w:val="20"/>
                <w:szCs w:val="20"/>
              </w:rPr>
              <w:t xml:space="preserve">Staff role responsible for managing sponsor relationships</w:t>
            </w:r>
          </w:p>
        </w:tc>
      </w:tr>
      <w:tr>
        <w:tc>
          <w:tcPr>
            <w:tcW w:type="dxa" w:w="2600"/>
            <w:shd w:fill="F2F2F2" w:val="clear"/>
            <w:tcMar>
              <w:top w:type="dxa" w:w="80"/>
              <w:left w:type="dxa" w:w="100"/>
              <w:bottom w:type="dxa" w:w="80"/>
              <w:right w:type="dxa" w:w="100"/>
            </w:tcMar>
          </w:tcPr>
          <w:p>
            <w:r>
              <w:rPr>
                <w:sz w:val="20"/>
                <w:szCs w:val="20"/>
              </w:rPr>
              <w:t xml:space="preserve">Stream</w:t>
            </w:r>
          </w:p>
        </w:tc>
        <w:tc>
          <w:tcPr>
            <w:tcW w:type="dxa" w:w="6900"/>
            <w:shd w:fill="F2F2F2" w:val="clear"/>
            <w:tcMar>
              <w:top w:type="dxa" w:w="80"/>
              <w:left w:type="dxa" w:w="100"/>
              <w:bottom w:type="dxa" w:w="80"/>
              <w:right w:type="dxa" w:w="100"/>
            </w:tcMar>
          </w:tcPr>
          <w:p>
            <w:r>
              <w:rPr>
                <w:sz w:val="20"/>
                <w:szCs w:val="20"/>
              </w:rPr>
              <w:t xml:space="preserve">A subdivision of a class/grade</w:t>
            </w:r>
          </w:p>
        </w:tc>
      </w:tr>
    </w:tbl>
    <w:p>
      <w:pPr>
        <w:pStyle w:val="Heading1"/>
        <w:spacing w:after="200" w:before="400"/>
      </w:pPr>
      <w:r>
        <w:t xml:space="preserve">11. Sign-Off</w:t>
      </w:r>
    </w:p>
    <w:p>
      <w:pPr>
        <w:spacing w:after="150"/>
      </w:pPr>
      <w:r>
        <w:t xml:space="preserve">This Business Requirements Document represents the agreed business needs for MGAEMS as understood at the time of writing. Approval of this document (see Document Control) authorizes the project team to proceed to detailed technical design based on the requirements herein.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2026-07-31T02:44:56.055Z</dcterms:created>
  <dcterms:modified xsi:type="dcterms:W3CDTF">2026-07-31T02:44:56.068Z</dcterms:modified>
</cp:coreProperties>
</file>

<file path=docProps/custom.xml><?xml version="1.0" encoding="utf-8"?>
<Properties xmlns="http://schemas.openxmlformats.org/officeDocument/2006/custom-properties" xmlns:vt="http://schemas.openxmlformats.org/officeDocument/2006/docPropsVTypes"/>
</file>