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Development Roadmap</w:t>
      </w:r>
    </w:p>
    <w:p>
      <w:pPr>
        <w:spacing w:before="1000"/>
      </w:pPr>
    </w:p>
    <w:p>
      <w:pPr>
        <w:jc w:val="center"/>
      </w:pPr>
      <w:r>
        <w:rPr>
          <w:color w:val="5A5A5A"/>
          <w:sz w:val="22"/>
          <w:szCs w:val="22"/>
        </w:rPr>
        <w:t xml:space="preserve">Document Version 1.0  |  Prepared: July 31, 2026</w:t>
      </w:r>
    </w:p>
    <w:p>
      <w:r>
        <w:br w:type="page"/>
      </w:r>
    </w:p>
    <w:p>
      <w:pPr>
        <w:pStyle w:val="Heading1"/>
        <w:spacing w:after="200" w:before="400"/>
      </w:pPr>
      <w:r>
        <w:t xml:space="preserve">1. Approach</w:t>
      </w:r>
    </w:p>
    <w:p>
      <w:pPr>
        <w:spacing w:after="150"/>
      </w:pPr>
      <w:r>
        <w:t xml:space="preserve">MGAEMS will be built iteratively in phases, each ending in a working, demonstrable increment. Foundational modules (authentication, academic structure, student records) are built first since nearly every other module depends on them. This roadmap is expressed in phases rather than fixed calendar dates, so the school and development team can agree on actual timelines based on available capacity.</w:t>
      </w:r>
    </w:p>
    <w:p>
      <w:pPr>
        <w:pStyle w:val="Heading1"/>
        <w:spacing w:after="200" w:before="400"/>
      </w:pPr>
      <w:r>
        <w:t xml:space="preserve">2. Phase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00"/>
      </w:tblGrid>
      <w:tr>
        <w:trPr>
          <w:tblHeader/>
        </w:trPr>
        <w:tc>
          <w:tcPr>
            <w:tcW w:type="dxa" w:w="1900"/>
            <w:shd w:fill="1F3864" w:val="clear"/>
            <w:tcMar>
              <w:top w:type="dxa" w:w="80"/>
              <w:left w:type="dxa" w:w="100"/>
              <w:bottom w:type="dxa" w:w="80"/>
              <w:right w:type="dxa" w:w="100"/>
            </w:tcMar>
          </w:tcPr>
          <w:p>
            <w:r>
              <w:rPr>
                <w:b/>
                <w:bCs/>
                <w:color w:val="FFFFFF"/>
                <w:sz w:val="20"/>
                <w:szCs w:val="20"/>
              </w:rPr>
              <w:t xml:space="preserve">Phase</w:t>
            </w:r>
          </w:p>
        </w:tc>
        <w:tc>
          <w:tcPr>
            <w:tcW w:type="dxa" w:w="2600"/>
            <w:shd w:fill="1F3864" w:val="clear"/>
            <w:tcMar>
              <w:top w:type="dxa" w:w="80"/>
              <w:left w:type="dxa" w:w="100"/>
              <w:bottom w:type="dxa" w:w="80"/>
              <w:right w:type="dxa" w:w="100"/>
            </w:tcMar>
          </w:tcPr>
          <w:p>
            <w:r>
              <w:rPr>
                <w:b/>
                <w:bCs/>
                <w:color w:val="FFFFFF"/>
                <w:sz w:val="20"/>
                <w:szCs w:val="20"/>
              </w:rPr>
              <w:t xml:space="preserve">Focus</w:t>
            </w:r>
          </w:p>
        </w:tc>
        <w:tc>
          <w:tcPr>
            <w:tcW w:type="dxa" w:w="4800"/>
            <w:shd w:fill="1F3864" w:val="clear"/>
            <w:tcMar>
              <w:top w:type="dxa" w:w="80"/>
              <w:left w:type="dxa" w:w="100"/>
              <w:bottom w:type="dxa" w:w="80"/>
              <w:right w:type="dxa" w:w="100"/>
            </w:tcMar>
          </w:tcPr>
          <w:p>
            <w:r>
              <w:rPr>
                <w:b/>
                <w:bCs/>
                <w:color w:val="FFFFFF"/>
                <w:sz w:val="20"/>
                <w:szCs w:val="20"/>
              </w:rPr>
              <w:t xml:space="preserve">Key Deliverables</w:t>
            </w:r>
          </w:p>
        </w:tc>
      </w:tr>
      <w:tr>
        <w:tc>
          <w:tcPr>
            <w:tcW w:type="dxa" w:w="1900"/>
            <w:shd w:fill="FFFFFF" w:val="clear"/>
            <w:tcMar>
              <w:top w:type="dxa" w:w="80"/>
              <w:left w:type="dxa" w:w="100"/>
              <w:bottom w:type="dxa" w:w="80"/>
              <w:right w:type="dxa" w:w="100"/>
            </w:tcMar>
          </w:tcPr>
          <w:p>
            <w:r>
              <w:rPr>
                <w:sz w:val="20"/>
                <w:szCs w:val="20"/>
              </w:rPr>
              <w:t xml:space="preserve">Phase 0 — Foundations</w:t>
            </w:r>
          </w:p>
        </w:tc>
        <w:tc>
          <w:tcPr>
            <w:tcW w:type="dxa" w:w="2600"/>
            <w:shd w:fill="FFFFFF" w:val="clear"/>
            <w:tcMar>
              <w:top w:type="dxa" w:w="80"/>
              <w:left w:type="dxa" w:w="100"/>
              <w:bottom w:type="dxa" w:w="80"/>
              <w:right w:type="dxa" w:w="100"/>
            </w:tcMar>
          </w:tcPr>
          <w:p>
            <w:r>
              <w:rPr>
                <w:sz w:val="20"/>
                <w:szCs w:val="20"/>
              </w:rPr>
              <w:t xml:space="preserve">Environment, architecture, and design sign-off</w:t>
            </w:r>
          </w:p>
        </w:tc>
        <w:tc>
          <w:tcPr>
            <w:tcW w:type="dxa" w:w="4800"/>
            <w:shd w:fill="FFFFFF" w:val="clear"/>
            <w:tcMar>
              <w:top w:type="dxa" w:w="80"/>
              <w:left w:type="dxa" w:w="100"/>
              <w:bottom w:type="dxa" w:w="80"/>
              <w:right w:type="dxa" w:w="100"/>
            </w:tcMar>
          </w:tcPr>
          <w:p>
            <w:r>
              <w:rPr>
                <w:sz w:val="20"/>
                <w:szCs w:val="20"/>
              </w:rPr>
              <w:t xml:space="preserve">Approved SRS/BRD/ERD/Schema; project repo, CI pipeline, and dev/staging environments provisioned</w:t>
            </w:r>
          </w:p>
        </w:tc>
      </w:tr>
      <w:tr>
        <w:tc>
          <w:tcPr>
            <w:tcW w:type="dxa" w:w="1900"/>
            <w:shd w:fill="F2F2F2" w:val="clear"/>
            <w:tcMar>
              <w:top w:type="dxa" w:w="80"/>
              <w:left w:type="dxa" w:w="100"/>
              <w:bottom w:type="dxa" w:w="80"/>
              <w:right w:type="dxa" w:w="100"/>
            </w:tcMar>
          </w:tcPr>
          <w:p>
            <w:r>
              <w:rPr>
                <w:sz w:val="20"/>
                <w:szCs w:val="20"/>
              </w:rPr>
              <w:t xml:space="preserve">Phase 1 — Core Platform</w:t>
            </w:r>
          </w:p>
        </w:tc>
        <w:tc>
          <w:tcPr>
            <w:tcW w:type="dxa" w:w="2600"/>
            <w:shd w:fill="F2F2F2" w:val="clear"/>
            <w:tcMar>
              <w:top w:type="dxa" w:w="80"/>
              <w:left w:type="dxa" w:w="100"/>
              <w:bottom w:type="dxa" w:w="80"/>
              <w:right w:type="dxa" w:w="100"/>
            </w:tcMar>
          </w:tcPr>
          <w:p>
            <w:r>
              <w:rPr>
                <w:sz w:val="20"/>
                <w:szCs w:val="20"/>
              </w:rPr>
              <w:t xml:space="preserve">Authentication, RBAC, Administration</w:t>
            </w:r>
          </w:p>
        </w:tc>
        <w:tc>
          <w:tcPr>
            <w:tcW w:type="dxa" w:w="4800"/>
            <w:shd w:fill="F2F2F2" w:val="clear"/>
            <w:tcMar>
              <w:top w:type="dxa" w:w="80"/>
              <w:left w:type="dxa" w:w="100"/>
              <w:bottom w:type="dxa" w:w="80"/>
              <w:right w:type="dxa" w:w="100"/>
            </w:tcMar>
          </w:tcPr>
          <w:p>
            <w:r>
              <w:rPr>
                <w:sz w:val="20"/>
                <w:szCs w:val="20"/>
              </w:rPr>
              <w:t xml:space="preserve">Login, password recovery, user/role management, audit logging, school settings, dashboards (shell)</w:t>
            </w:r>
          </w:p>
        </w:tc>
      </w:tr>
      <w:tr>
        <w:tc>
          <w:tcPr>
            <w:tcW w:type="dxa" w:w="1900"/>
            <w:shd w:fill="FFFFFF" w:val="clear"/>
            <w:tcMar>
              <w:top w:type="dxa" w:w="80"/>
              <w:left w:type="dxa" w:w="100"/>
              <w:bottom w:type="dxa" w:w="80"/>
              <w:right w:type="dxa" w:w="100"/>
            </w:tcMar>
          </w:tcPr>
          <w:p>
            <w:r>
              <w:rPr>
                <w:sz w:val="20"/>
                <w:szCs w:val="20"/>
              </w:rPr>
              <w:t xml:space="preserve">Phase 2 — Academic Foundation</w:t>
            </w:r>
          </w:p>
        </w:tc>
        <w:tc>
          <w:tcPr>
            <w:tcW w:type="dxa" w:w="2600"/>
            <w:shd w:fill="FFFFFF" w:val="clear"/>
            <w:tcMar>
              <w:top w:type="dxa" w:w="80"/>
              <w:left w:type="dxa" w:w="100"/>
              <w:bottom w:type="dxa" w:w="80"/>
              <w:right w:type="dxa" w:w="100"/>
            </w:tcMar>
          </w:tcPr>
          <w:p>
            <w:r>
              <w:rPr>
                <w:sz w:val="20"/>
                <w:szCs w:val="20"/>
              </w:rPr>
              <w:t xml:space="preserve">Student &amp; Academic Management</w:t>
            </w:r>
          </w:p>
        </w:tc>
        <w:tc>
          <w:tcPr>
            <w:tcW w:type="dxa" w:w="4800"/>
            <w:shd w:fill="FFFFFF" w:val="clear"/>
            <w:tcMar>
              <w:top w:type="dxa" w:w="80"/>
              <w:left w:type="dxa" w:w="100"/>
              <w:bottom w:type="dxa" w:w="80"/>
              <w:right w:type="dxa" w:w="100"/>
            </w:tcMar>
          </w:tcPr>
          <w:p>
            <w:r>
              <w:rPr>
                <w:sz w:val="20"/>
                <w:szCs w:val="20"/>
              </w:rPr>
              <w:t xml:space="preserve">Learner registration, academic years/terms/classes/streams/subjects, teacher/learner allocation, timetables</w:t>
            </w:r>
          </w:p>
        </w:tc>
      </w:tr>
      <w:tr>
        <w:tc>
          <w:tcPr>
            <w:tcW w:type="dxa" w:w="1900"/>
            <w:shd w:fill="F2F2F2" w:val="clear"/>
            <w:tcMar>
              <w:top w:type="dxa" w:w="80"/>
              <w:left w:type="dxa" w:w="100"/>
              <w:bottom w:type="dxa" w:w="80"/>
              <w:right w:type="dxa" w:w="100"/>
            </w:tcMar>
          </w:tcPr>
          <w:p>
            <w:r>
              <w:rPr>
                <w:sz w:val="20"/>
                <w:szCs w:val="20"/>
              </w:rPr>
              <w:t xml:space="preserve">Phase 3 — Academic Operations</w:t>
            </w:r>
          </w:p>
        </w:tc>
        <w:tc>
          <w:tcPr>
            <w:tcW w:type="dxa" w:w="2600"/>
            <w:shd w:fill="F2F2F2" w:val="clear"/>
            <w:tcMar>
              <w:top w:type="dxa" w:w="80"/>
              <w:left w:type="dxa" w:w="100"/>
              <w:bottom w:type="dxa" w:w="80"/>
              <w:right w:type="dxa" w:w="100"/>
            </w:tcMar>
          </w:tcPr>
          <w:p>
            <w:r>
              <w:rPr>
                <w:sz w:val="20"/>
                <w:szCs w:val="20"/>
              </w:rPr>
              <w:t xml:space="preserve">CBC Assessment &amp; Attendance</w:t>
            </w:r>
          </w:p>
        </w:tc>
        <w:tc>
          <w:tcPr>
            <w:tcW w:type="dxa" w:w="4800"/>
            <w:shd w:fill="F2F2F2" w:val="clear"/>
            <w:tcMar>
              <w:top w:type="dxa" w:w="80"/>
              <w:left w:type="dxa" w:w="100"/>
              <w:bottom w:type="dxa" w:w="80"/>
              <w:right w:type="dxa" w:w="100"/>
            </w:tcMar>
          </w:tcPr>
          <w:p>
            <w:r>
              <w:rPr>
                <w:sz w:val="20"/>
                <w:szCs w:val="20"/>
              </w:rPr>
              <w:t xml:space="preserve">Continuous/exam assessment entry, report card generation, learner &amp; staff attendance and reporting</w:t>
            </w:r>
          </w:p>
        </w:tc>
      </w:tr>
      <w:tr>
        <w:tc>
          <w:tcPr>
            <w:tcW w:type="dxa" w:w="1900"/>
            <w:shd w:fill="FFFFFF" w:val="clear"/>
            <w:tcMar>
              <w:top w:type="dxa" w:w="80"/>
              <w:left w:type="dxa" w:w="100"/>
              <w:bottom w:type="dxa" w:w="80"/>
              <w:right w:type="dxa" w:w="100"/>
            </w:tcMar>
          </w:tcPr>
          <w:p>
            <w:r>
              <w:rPr>
                <w:sz w:val="20"/>
                <w:szCs w:val="20"/>
              </w:rPr>
              <w:t xml:space="preserve">Phase 4 — People &amp; Partnerships</w:t>
            </w:r>
          </w:p>
        </w:tc>
        <w:tc>
          <w:tcPr>
            <w:tcW w:type="dxa" w:w="2600"/>
            <w:shd w:fill="FFFFFF" w:val="clear"/>
            <w:tcMar>
              <w:top w:type="dxa" w:w="80"/>
              <w:left w:type="dxa" w:w="100"/>
              <w:bottom w:type="dxa" w:w="80"/>
              <w:right w:type="dxa" w:w="100"/>
            </w:tcMar>
          </w:tcPr>
          <w:p>
            <w:r>
              <w:rPr>
                <w:sz w:val="20"/>
                <w:szCs w:val="20"/>
              </w:rPr>
              <w:t xml:space="preserve">HR &amp; Sponsorship</w:t>
            </w:r>
          </w:p>
        </w:tc>
        <w:tc>
          <w:tcPr>
            <w:tcW w:type="dxa" w:w="4800"/>
            <w:shd w:fill="FFFFFF" w:val="clear"/>
            <w:tcMar>
              <w:top w:type="dxa" w:w="80"/>
              <w:left w:type="dxa" w:w="100"/>
              <w:bottom w:type="dxa" w:w="80"/>
              <w:right w:type="dxa" w:w="100"/>
            </w:tcMar>
          </w:tcPr>
          <w:p>
            <w:r>
              <w:rPr>
                <w:sz w:val="20"/>
                <w:szCs w:val="20"/>
              </w:rPr>
              <w:t xml:space="preserve">Full staff HR records, sponsor profiles and sponsorship assignment/history, restricted access controls</w:t>
            </w:r>
          </w:p>
        </w:tc>
      </w:tr>
      <w:tr>
        <w:tc>
          <w:tcPr>
            <w:tcW w:type="dxa" w:w="1900"/>
            <w:shd w:fill="F2F2F2" w:val="clear"/>
            <w:tcMar>
              <w:top w:type="dxa" w:w="80"/>
              <w:left w:type="dxa" w:w="100"/>
              <w:bottom w:type="dxa" w:w="80"/>
              <w:right w:type="dxa" w:w="100"/>
            </w:tcMar>
          </w:tcPr>
          <w:p>
            <w:r>
              <w:rPr>
                <w:sz w:val="20"/>
                <w:szCs w:val="20"/>
              </w:rPr>
              <w:t xml:space="preserve">Phase 5 — Engagement</w:t>
            </w:r>
          </w:p>
        </w:tc>
        <w:tc>
          <w:tcPr>
            <w:tcW w:type="dxa" w:w="2600"/>
            <w:shd w:fill="F2F2F2" w:val="clear"/>
            <w:tcMar>
              <w:top w:type="dxa" w:w="80"/>
              <w:left w:type="dxa" w:w="100"/>
              <w:bottom w:type="dxa" w:w="80"/>
              <w:right w:type="dxa" w:w="100"/>
            </w:tcMar>
          </w:tcPr>
          <w:p>
            <w:r>
              <w:rPr>
                <w:sz w:val="20"/>
                <w:szCs w:val="20"/>
              </w:rPr>
              <w:t xml:space="preserve">Portals &amp; Communication</w:t>
            </w:r>
          </w:p>
        </w:tc>
        <w:tc>
          <w:tcPr>
            <w:tcW w:type="dxa" w:w="4800"/>
            <w:shd w:fill="F2F2F2" w:val="clear"/>
            <w:tcMar>
              <w:top w:type="dxa" w:w="80"/>
              <w:left w:type="dxa" w:w="100"/>
              <w:bottom w:type="dxa" w:w="80"/>
              <w:right w:type="dxa" w:w="100"/>
            </w:tcMar>
          </w:tcPr>
          <w:p>
            <w:r>
              <w:rPr>
                <w:sz w:val="20"/>
                <w:szCs w:val="20"/>
              </w:rPr>
              <w:t xml:space="preserve">Parent Portal, Sponsor Portal, announcements, internal messaging, visitor/volunteer records</w:t>
            </w:r>
          </w:p>
        </w:tc>
      </w:tr>
      <w:tr>
        <w:tc>
          <w:tcPr>
            <w:tcW w:type="dxa" w:w="1900"/>
            <w:shd w:fill="FFFFFF" w:val="clear"/>
            <w:tcMar>
              <w:top w:type="dxa" w:w="80"/>
              <w:left w:type="dxa" w:w="100"/>
              <w:bottom w:type="dxa" w:w="80"/>
              <w:right w:type="dxa" w:w="100"/>
            </w:tcMar>
          </w:tcPr>
          <w:p>
            <w:r>
              <w:rPr>
                <w:sz w:val="20"/>
                <w:szCs w:val="20"/>
              </w:rPr>
              <w:t xml:space="preserve">Phase 6 — Insight &amp; Hardening</w:t>
            </w:r>
          </w:p>
        </w:tc>
        <w:tc>
          <w:tcPr>
            <w:tcW w:type="dxa" w:w="2600"/>
            <w:shd w:fill="FFFFFF" w:val="clear"/>
            <w:tcMar>
              <w:top w:type="dxa" w:w="80"/>
              <w:left w:type="dxa" w:w="100"/>
              <w:bottom w:type="dxa" w:w="80"/>
              <w:right w:type="dxa" w:w="100"/>
            </w:tcMar>
          </w:tcPr>
          <w:p>
            <w:r>
              <w:rPr>
                <w:sz w:val="20"/>
                <w:szCs w:val="20"/>
              </w:rPr>
              <w:t xml:space="preserve">Reporting, Security, Performance</w:t>
            </w:r>
          </w:p>
        </w:tc>
        <w:tc>
          <w:tcPr>
            <w:tcW w:type="dxa" w:w="4800"/>
            <w:shd w:fill="FFFFFF" w:val="clear"/>
            <w:tcMar>
              <w:top w:type="dxa" w:w="80"/>
              <w:left w:type="dxa" w:w="100"/>
              <w:bottom w:type="dxa" w:w="80"/>
              <w:right w:type="dxa" w:w="100"/>
            </w:tcMar>
          </w:tcPr>
          <w:p>
            <w:r>
              <w:rPr>
                <w:sz w:val="20"/>
                <w:szCs w:val="20"/>
              </w:rPr>
              <w:t xml:space="preserve">Cross-module PDF/Excel reporting, security testing, performance tuning, backups</w:t>
            </w:r>
          </w:p>
        </w:tc>
      </w:tr>
      <w:tr>
        <w:tc>
          <w:tcPr>
            <w:tcW w:type="dxa" w:w="1900"/>
            <w:shd w:fill="F2F2F2" w:val="clear"/>
            <w:tcMar>
              <w:top w:type="dxa" w:w="80"/>
              <w:left w:type="dxa" w:w="100"/>
              <w:bottom w:type="dxa" w:w="80"/>
              <w:right w:type="dxa" w:w="100"/>
            </w:tcMar>
          </w:tcPr>
          <w:p>
            <w:r>
              <w:rPr>
                <w:sz w:val="20"/>
                <w:szCs w:val="20"/>
              </w:rPr>
              <w:t xml:space="preserve">Phase 7 — Pilot &amp; Launch</w:t>
            </w:r>
          </w:p>
        </w:tc>
        <w:tc>
          <w:tcPr>
            <w:tcW w:type="dxa" w:w="2600"/>
            <w:shd w:fill="F2F2F2" w:val="clear"/>
            <w:tcMar>
              <w:top w:type="dxa" w:w="80"/>
              <w:left w:type="dxa" w:w="100"/>
              <w:bottom w:type="dxa" w:w="80"/>
              <w:right w:type="dxa" w:w="100"/>
            </w:tcMar>
          </w:tcPr>
          <w:p>
            <w:r>
              <w:rPr>
                <w:sz w:val="20"/>
                <w:szCs w:val="20"/>
              </w:rPr>
              <w:t xml:space="preserve">Training and go-live</w:t>
            </w:r>
          </w:p>
        </w:tc>
        <w:tc>
          <w:tcPr>
            <w:tcW w:type="dxa" w:w="4800"/>
            <w:shd w:fill="F2F2F2" w:val="clear"/>
            <w:tcMar>
              <w:top w:type="dxa" w:w="80"/>
              <w:left w:type="dxa" w:w="100"/>
              <w:bottom w:type="dxa" w:w="80"/>
              <w:right w:type="dxa" w:w="100"/>
            </w:tcMar>
          </w:tcPr>
          <w:p>
            <w:r>
              <w:rPr>
                <w:sz w:val="20"/>
                <w:szCs w:val="20"/>
              </w:rPr>
              <w:t xml:space="preserve">Staff training, data entry/migration, pilot run, production go-live, hypercare support</w:t>
            </w:r>
          </w:p>
        </w:tc>
      </w:tr>
    </w:tbl>
    <w:p>
      <w:r>
        <w:br w:type="page"/>
      </w:r>
    </w:p>
    <w:p>
      <w:pPr>
        <w:pStyle w:val="Heading1"/>
        <w:spacing w:after="200" w:before="400"/>
      </w:pPr>
      <w:r>
        <w:t xml:space="preserve">3. Phase Detail</w:t>
      </w:r>
    </w:p>
    <w:p>
      <w:pPr>
        <w:pStyle w:val="Heading2"/>
        <w:spacing w:after="150" w:before="300"/>
      </w:pPr>
      <w:r>
        <w:t xml:space="preserve">Phase 0 — Foundations</w:t>
      </w:r>
    </w:p>
    <w:p>
      <w:pPr>
        <w:pStyle w:val="ListParagraph"/>
        <w:numPr>
          <w:ilvl w:val="0"/>
          <w:numId w:val="1"/>
        </w:numPr>
        <w:spacing w:after="60"/>
      </w:pPr>
      <w:r>
        <w:t xml:space="preserve">Finalize and sign off SRS, BRD, ERD, Database Schema, and User Role Matrix</w:t>
      </w:r>
    </w:p>
    <w:p>
      <w:pPr>
        <w:pStyle w:val="ListParagraph"/>
        <w:numPr>
          <w:ilvl w:val="0"/>
          <w:numId w:val="1"/>
        </w:numPr>
        <w:spacing w:after="60"/>
      </w:pPr>
      <w:r>
        <w:t xml:space="preserve">Set up source control, coding standards, and CI/CD pipeline</w:t>
      </w:r>
    </w:p>
    <w:p>
      <w:pPr>
        <w:pStyle w:val="ListParagraph"/>
        <w:numPr>
          <w:ilvl w:val="0"/>
          <w:numId w:val="1"/>
        </w:numPr>
        <w:spacing w:after="60"/>
      </w:pPr>
      <w:r>
        <w:t xml:space="preserve">Provision development, staging, and production environments (see Deployment Guide)</w:t>
      </w:r>
    </w:p>
    <w:p>
      <w:pPr>
        <w:pStyle w:val="ListParagraph"/>
        <w:numPr>
          <w:ilvl w:val="0"/>
          <w:numId w:val="1"/>
        </w:numPr>
        <w:spacing w:after="60"/>
      </w:pPr>
      <w:r>
        <w:t xml:space="preserve">Establish the base MVC application skeleton and shared authentication scaffolding</w:t>
      </w:r>
    </w:p>
    <w:p>
      <w:pPr>
        <w:pStyle w:val="Heading2"/>
        <w:spacing w:after="150" w:before="300"/>
      </w:pPr>
      <w:r>
        <w:t xml:space="preserve">Phase 1 — Core Platform</w:t>
      </w:r>
    </w:p>
    <w:p>
      <w:pPr>
        <w:pStyle w:val="ListParagraph"/>
        <w:numPr>
          <w:ilvl w:val="0"/>
          <w:numId w:val="1"/>
        </w:numPr>
        <w:spacing w:after="60"/>
      </w:pPr>
      <w:r>
        <w:t xml:space="preserve">Implement secure login, password hashing, password recovery, and session management</w:t>
      </w:r>
    </w:p>
    <w:p>
      <w:pPr>
        <w:pStyle w:val="ListParagraph"/>
        <w:numPr>
          <w:ilvl w:val="0"/>
          <w:numId w:val="1"/>
        </w:numPr>
        <w:spacing w:after="60"/>
      </w:pPr>
      <w:r>
        <w:t xml:space="preserve">Implement RBAC enforcement at the API layer per the User Role Matrix</w:t>
      </w:r>
    </w:p>
    <w:p>
      <w:pPr>
        <w:pStyle w:val="ListParagraph"/>
        <w:numPr>
          <w:ilvl w:val="0"/>
          <w:numId w:val="1"/>
        </w:numPr>
        <w:spacing w:after="60"/>
      </w:pPr>
      <w:r>
        <w:t xml:space="preserve">Implement user/role/permission management (System Administrator)</w:t>
      </w:r>
    </w:p>
    <w:p>
      <w:pPr>
        <w:pStyle w:val="ListParagraph"/>
        <w:numPr>
          <w:ilvl w:val="0"/>
          <w:numId w:val="1"/>
        </w:numPr>
        <w:spacing w:after="60"/>
      </w:pPr>
      <w:r>
        <w:t xml:space="preserve">Implement audit logging for key actions</w:t>
      </w:r>
    </w:p>
    <w:p>
      <w:pPr>
        <w:pStyle w:val="ListParagraph"/>
        <w:numPr>
          <w:ilvl w:val="0"/>
          <w:numId w:val="1"/>
        </w:numPr>
        <w:spacing w:after="60"/>
      </w:pPr>
      <w:r>
        <w:t xml:space="preserve">Implement the dashboard shell (role detection and layout; module-specific widgets added as those modules are built)</w:t>
      </w:r>
    </w:p>
    <w:p>
      <w:pPr>
        <w:pStyle w:val="ListParagraph"/>
        <w:numPr>
          <w:ilvl w:val="0"/>
          <w:numId w:val="1"/>
        </w:numPr>
        <w:spacing w:after="60"/>
      </w:pPr>
      <w:r>
        <w:t xml:space="preserve">Implement school settings, logo upload, and basic system configuration</w:t>
      </w:r>
    </w:p>
    <w:p>
      <w:pPr>
        <w:pStyle w:val="Heading2"/>
        <w:spacing w:after="150" w:before="300"/>
      </w:pPr>
      <w:r>
        <w:t xml:space="preserve">Phase 2 — Academic Foundation</w:t>
      </w:r>
    </w:p>
    <w:p>
      <w:pPr>
        <w:pStyle w:val="ListParagraph"/>
        <w:numPr>
          <w:ilvl w:val="0"/>
          <w:numId w:val="1"/>
        </w:numPr>
        <w:spacing w:after="60"/>
      </w:pPr>
      <w:r>
        <w:t xml:space="preserve">Implement academic years, terms, classes, streams, and subjects management</w:t>
      </w:r>
    </w:p>
    <w:p>
      <w:pPr>
        <w:pStyle w:val="ListParagraph"/>
        <w:numPr>
          <w:ilvl w:val="0"/>
          <w:numId w:val="1"/>
        </w:numPr>
        <w:spacing w:after="60"/>
      </w:pPr>
      <w:r>
        <w:t xml:space="preserve">Implement learner registration with auto-generated admission numbers, guardians, medical info, and documents</w:t>
      </w:r>
    </w:p>
    <w:p>
      <w:pPr>
        <w:pStyle w:val="ListParagraph"/>
        <w:numPr>
          <w:ilvl w:val="0"/>
          <w:numId w:val="1"/>
        </w:numPr>
        <w:spacing w:after="60"/>
      </w:pPr>
      <w:r>
        <w:t xml:space="preserve">Implement teacher-to-subject/class allocation and learner-to-class/stream allocation</w:t>
      </w:r>
    </w:p>
    <w:p>
      <w:pPr>
        <w:pStyle w:val="ListParagraph"/>
        <w:numPr>
          <w:ilvl w:val="0"/>
          <w:numId w:val="1"/>
        </w:numPr>
        <w:spacing w:after="60"/>
      </w:pPr>
      <w:r>
        <w:t xml:space="preserve">Implement timetable building with conflict detection</w:t>
      </w:r>
    </w:p>
    <w:p>
      <w:pPr>
        <w:pStyle w:val="Heading2"/>
        <w:spacing w:after="150" w:before="300"/>
      </w:pPr>
      <w:r>
        <w:t xml:space="preserve">Phase 3 — Academic Operations</w:t>
      </w:r>
    </w:p>
    <w:p>
      <w:pPr>
        <w:pStyle w:val="ListParagraph"/>
        <w:numPr>
          <w:ilvl w:val="0"/>
          <w:numId w:val="1"/>
        </w:numPr>
        <w:spacing w:after="60"/>
      </w:pPr>
      <w:r>
        <w:t xml:space="preserve">Implement continuous assessment and end-term examination entry for teachers</w:t>
      </w:r>
    </w:p>
    <w:p>
      <w:pPr>
        <w:pStyle w:val="ListParagraph"/>
        <w:numPr>
          <w:ilvl w:val="0"/>
          <w:numId w:val="1"/>
        </w:numPr>
        <w:spacing w:after="60"/>
      </w:pPr>
      <w:r>
        <w:t xml:space="preserve">Implement the configurable CBC competency rating scale</w:t>
      </w:r>
    </w:p>
    <w:p>
      <w:pPr>
        <w:pStyle w:val="ListParagraph"/>
        <w:numPr>
          <w:ilvl w:val="0"/>
          <w:numId w:val="1"/>
        </w:numPr>
        <w:spacing w:after="60"/>
      </w:pPr>
      <w:r>
        <w:t xml:space="preserve">Implement automatic report card generation (PDF) with teacher and Head Teacher remarks</w:t>
      </w:r>
    </w:p>
    <w:p>
      <w:pPr>
        <w:pStyle w:val="ListParagraph"/>
        <w:numPr>
          <w:ilvl w:val="0"/>
          <w:numId w:val="1"/>
        </w:numPr>
        <w:spacing w:after="60"/>
      </w:pPr>
      <w:r>
        <w:t xml:space="preserve">Implement learner and staff attendance entry and daily/weekly/monthly reporting</w:t>
      </w:r>
    </w:p>
    <w:p>
      <w:pPr>
        <w:pStyle w:val="Heading2"/>
        <w:spacing w:after="150" w:before="300"/>
      </w:pPr>
      <w:r>
        <w:t xml:space="preserve">Phase 4 — People &amp; Partnerships</w:t>
      </w:r>
    </w:p>
    <w:p>
      <w:pPr>
        <w:pStyle w:val="ListParagraph"/>
        <w:numPr>
          <w:ilvl w:val="0"/>
          <w:numId w:val="1"/>
        </w:numPr>
        <w:spacing w:after="60"/>
      </w:pPr>
      <w:r>
        <w:t xml:space="preserve">Implement full staff HR records: qualifications, documents, emergency contacts, employment details</w:t>
      </w:r>
    </w:p>
    <w:p>
      <w:pPr>
        <w:pStyle w:val="ListParagraph"/>
        <w:numPr>
          <w:ilvl w:val="0"/>
          <w:numId w:val="1"/>
        </w:numPr>
        <w:spacing w:after="60"/>
      </w:pPr>
      <w:r>
        <w:t xml:space="preserve">Implement sponsor profiles (individual, church, ministry, NGO, foundation, general)</w:t>
      </w:r>
    </w:p>
    <w:p>
      <w:pPr>
        <w:pStyle w:val="ListParagraph"/>
        <w:numPr>
          <w:ilvl w:val="0"/>
          <w:numId w:val="1"/>
        </w:numPr>
        <w:spacing w:after="60"/>
      </w:pPr>
      <w:r>
        <w:t xml:space="preserve">Implement sponsorship assignment (individual, group, school-wide) and sponsorship history</w:t>
      </w:r>
    </w:p>
    <w:p>
      <w:pPr>
        <w:pStyle w:val="ListParagraph"/>
        <w:numPr>
          <w:ilvl w:val="0"/>
          <w:numId w:val="1"/>
        </w:numPr>
        <w:spacing w:after="60"/>
      </w:pPr>
      <w:r>
        <w:t xml:space="preserve">Enforce sponsorship data restriction to authorized roles only</w:t>
      </w:r>
    </w:p>
    <w:p>
      <w:pPr>
        <w:pStyle w:val="Heading2"/>
        <w:spacing w:after="150" w:before="300"/>
      </w:pPr>
      <w:r>
        <w:t xml:space="preserve">Phase 5 — Engagement</w:t>
      </w:r>
    </w:p>
    <w:p>
      <w:pPr>
        <w:pStyle w:val="ListParagraph"/>
        <w:numPr>
          <w:ilvl w:val="0"/>
          <w:numId w:val="1"/>
        </w:numPr>
        <w:spacing w:after="60"/>
      </w:pPr>
      <w:r>
        <w:t xml:space="preserve">Implement the Parent Portal (own-child-only attendance, report cards, progress, announcements, calendar)</w:t>
      </w:r>
    </w:p>
    <w:p>
      <w:pPr>
        <w:pStyle w:val="ListParagraph"/>
        <w:numPr>
          <w:ilvl w:val="0"/>
          <w:numId w:val="1"/>
        </w:numPr>
        <w:spacing w:after="60"/>
      </w:pPr>
      <w:r>
        <w:t xml:space="preserve">Implement the Sponsor Portal (own-sponsorship-only attendance summaries, reports, comments, updates)</w:t>
      </w:r>
    </w:p>
    <w:p>
      <w:pPr>
        <w:pStyle w:val="ListParagraph"/>
        <w:numPr>
          <w:ilvl w:val="0"/>
          <w:numId w:val="1"/>
        </w:numPr>
        <w:spacing w:after="60"/>
      </w:pPr>
      <w:r>
        <w:t xml:space="preserve">Implement announcements (school-wide/targeted) with email notifications</w:t>
      </w:r>
    </w:p>
    <w:p>
      <w:pPr>
        <w:pStyle w:val="ListParagraph"/>
        <w:numPr>
          <w:ilvl w:val="0"/>
          <w:numId w:val="1"/>
        </w:numPr>
        <w:spacing w:after="60"/>
      </w:pPr>
      <w:r>
        <w:t xml:space="preserve">Implement internal messaging between authorized roles</w:t>
      </w:r>
    </w:p>
    <w:p>
      <w:pPr>
        <w:pStyle w:val="ListParagraph"/>
        <w:numPr>
          <w:ilvl w:val="0"/>
          <w:numId w:val="1"/>
        </w:numPr>
        <w:spacing w:after="60"/>
      </w:pPr>
      <w:r>
        <w:t xml:space="preserve">Implement visitor and volunteer record-keeping</w:t>
      </w:r>
    </w:p>
    <w:p>
      <w:pPr>
        <w:pStyle w:val="Heading2"/>
        <w:spacing w:after="150" w:before="300"/>
      </w:pPr>
      <w:r>
        <w:t xml:space="preserve">Phase 6 — Insight &amp; Hardening</w:t>
      </w:r>
    </w:p>
    <w:p>
      <w:pPr>
        <w:pStyle w:val="ListParagraph"/>
        <w:numPr>
          <w:ilvl w:val="0"/>
          <w:numId w:val="1"/>
        </w:numPr>
        <w:spacing w:after="60"/>
      </w:pPr>
      <w:r>
        <w:t xml:space="preserve">Implement cross-module reporting (student, academic, attendance, staff, sponsorship, visitor, school statistics) in PDF and Excel</w:t>
      </w:r>
    </w:p>
    <w:p>
      <w:pPr>
        <w:pStyle w:val="ListParagraph"/>
        <w:numPr>
          <w:ilvl w:val="0"/>
          <w:numId w:val="1"/>
        </w:numPr>
        <w:spacing w:after="60"/>
      </w:pPr>
      <w:r>
        <w:t xml:space="preserve">Conduct security testing per the Testing Strategy (SQLi, XSS, CSRF, access control testing)</w:t>
      </w:r>
    </w:p>
    <w:p>
      <w:pPr>
        <w:pStyle w:val="ListParagraph"/>
        <w:numPr>
          <w:ilvl w:val="0"/>
          <w:numId w:val="1"/>
        </w:numPr>
        <w:spacing w:after="60"/>
      </w:pPr>
      <w:r>
        <w:t xml:space="preserve">Conduct performance tuning (query optimization, indexing validation, load testing)</w:t>
      </w:r>
    </w:p>
    <w:p>
      <w:pPr>
        <w:pStyle w:val="ListParagraph"/>
        <w:numPr>
          <w:ilvl w:val="0"/>
          <w:numId w:val="1"/>
        </w:numPr>
        <w:spacing w:after="60"/>
      </w:pPr>
      <w:r>
        <w:t xml:space="preserve">Implement and test automated backup and restore procedures</w:t>
      </w:r>
    </w:p>
    <w:p>
      <w:pPr>
        <w:pStyle w:val="Heading2"/>
        <w:spacing w:after="150" w:before="300"/>
      </w:pPr>
      <w:r>
        <w:t xml:space="preserve">Phase 7 — Pilot &amp; Launch</w:t>
      </w:r>
    </w:p>
    <w:p>
      <w:pPr>
        <w:pStyle w:val="ListParagraph"/>
        <w:numPr>
          <w:ilvl w:val="0"/>
          <w:numId w:val="1"/>
        </w:numPr>
        <w:spacing w:after="60"/>
      </w:pPr>
      <w:r>
        <w:t xml:space="preserve">Conduct staff training sessions by role</w:t>
      </w:r>
    </w:p>
    <w:p>
      <w:pPr>
        <w:pStyle w:val="ListParagraph"/>
        <w:numPr>
          <w:ilvl w:val="0"/>
          <w:numId w:val="1"/>
        </w:numPr>
        <w:spacing w:after="60"/>
      </w:pPr>
      <w:r>
        <w:t xml:space="preserve">Migrate/enter historical data (prior-term records, if digitized) per a structured data-entry plan</w:t>
      </w:r>
    </w:p>
    <w:p>
      <w:pPr>
        <w:pStyle w:val="ListParagraph"/>
        <w:numPr>
          <w:ilvl w:val="0"/>
          <w:numId w:val="1"/>
        </w:numPr>
        <w:spacing w:after="60"/>
      </w:pPr>
      <w:r>
        <w:t xml:space="preserve">Run a pilot period with real or shadow data and gather feedback</w:t>
      </w:r>
    </w:p>
    <w:p>
      <w:pPr>
        <w:pStyle w:val="ListParagraph"/>
        <w:numPr>
          <w:ilvl w:val="0"/>
          <w:numId w:val="1"/>
        </w:numPr>
        <w:spacing w:after="60"/>
      </w:pPr>
      <w:r>
        <w:t xml:space="preserve">Execute production go-live per the Deployment Guide</w:t>
      </w:r>
    </w:p>
    <w:p>
      <w:pPr>
        <w:pStyle w:val="ListParagraph"/>
        <w:numPr>
          <w:ilvl w:val="0"/>
          <w:numId w:val="1"/>
        </w:numPr>
        <w:spacing w:after="60"/>
      </w:pPr>
      <w:r>
        <w:t xml:space="preserve">Provide a hypercare support period immediately following go-live</w:t>
      </w:r>
    </w:p>
    <w:p>
      <w:r>
        <w:br w:type="page"/>
      </w:r>
    </w:p>
    <w:p>
      <w:pPr>
        <w:pStyle w:val="Heading1"/>
        <w:spacing w:after="200" w:before="400"/>
      </w:pPr>
      <w:r>
        <w:t xml:space="preserve">4. Dependencies</w:t>
      </w:r>
    </w:p>
    <w:p>
      <w:pPr>
        <w:pStyle w:val="ListParagraph"/>
        <w:numPr>
          <w:ilvl w:val="0"/>
          <w:numId w:val="1"/>
        </w:numPr>
        <w:spacing w:after="60"/>
      </w:pPr>
      <w:r>
        <w:t xml:space="preserve">Phase 2 depends on Phase 1's authentication/RBAC foundation being complete.</w:t>
      </w:r>
    </w:p>
    <w:p>
      <w:pPr>
        <w:pStyle w:val="ListParagraph"/>
        <w:numPr>
          <w:ilvl w:val="0"/>
          <w:numId w:val="1"/>
        </w:numPr>
        <w:spacing w:after="60"/>
      </w:pPr>
      <w:r>
        <w:t xml:space="preserve">Phase 3 (Assessment, Attendance) depends on Phase 2's academic structure and learner allocation.</w:t>
      </w:r>
    </w:p>
    <w:p>
      <w:pPr>
        <w:pStyle w:val="ListParagraph"/>
        <w:numPr>
          <w:ilvl w:val="0"/>
          <w:numId w:val="1"/>
        </w:numPr>
        <w:spacing w:after="60"/>
      </w:pPr>
      <w:r>
        <w:t xml:space="preserve">Phase 4's Sponsorship module can be developed in parallel with Phase 3 once Phase 2 is complete, since it primarily depends on the student record, not assessment data.</w:t>
      </w:r>
    </w:p>
    <w:p>
      <w:pPr>
        <w:pStyle w:val="ListParagraph"/>
        <w:numPr>
          <w:ilvl w:val="0"/>
          <w:numId w:val="1"/>
        </w:numPr>
        <w:spacing w:after="60"/>
      </w:pPr>
      <w:r>
        <w:t xml:space="preserve">Phase 5's portals depend on the underlying data (attendance, report cards, sponsorship) being available from Phases 3 and 4.</w:t>
      </w:r>
    </w:p>
    <w:p>
      <w:pPr>
        <w:pStyle w:val="ListParagraph"/>
        <w:numPr>
          <w:ilvl w:val="0"/>
          <w:numId w:val="1"/>
        </w:numPr>
        <w:spacing w:after="60"/>
      </w:pPr>
      <w:r>
        <w:t xml:space="preserve">Phase 6 reporting depends on all source modules (Phases 2–5) having stable data models.</w:t>
      </w:r>
    </w:p>
    <w:p>
      <w:pPr>
        <w:pStyle w:val="Heading1"/>
        <w:spacing w:after="200" w:before="400"/>
      </w:pPr>
      <w:r>
        <w:t xml:space="preserve">5. Future Scalability (Post-Launch)</w:t>
      </w:r>
    </w:p>
    <w:p>
      <w:pPr>
        <w:spacing w:after="150"/>
      </w:pPr>
      <w:r>
        <w:t xml:space="preserve">The following modules are explicitly out of scope for the initial release but are anticipated in the architecture (see SRS Section 7.3 and System Architecture Diagram):</w:t>
      </w:r>
    </w:p>
    <w:p>
      <w:pPr>
        <w:pStyle w:val="ListParagraph"/>
        <w:numPr>
          <w:ilvl w:val="0"/>
          <w:numId w:val="1"/>
        </w:numPr>
        <w:spacing w:after="60"/>
      </w:pPr>
      <w:r>
        <w:t xml:space="preserve">Senior School (Grade 10-12) support</w:t>
      </w:r>
    </w:p>
    <w:p>
      <w:pPr>
        <w:pStyle w:val="ListParagraph"/>
        <w:numPr>
          <w:ilvl w:val="0"/>
          <w:numId w:val="1"/>
        </w:numPr>
        <w:spacing w:after="60"/>
      </w:pPr>
      <w:r>
        <w:t xml:space="preserve">Inventory Management</w:t>
      </w:r>
    </w:p>
    <w:p>
      <w:pPr>
        <w:pStyle w:val="ListParagraph"/>
        <w:numPr>
          <w:ilvl w:val="0"/>
          <w:numId w:val="1"/>
        </w:numPr>
        <w:spacing w:after="60"/>
      </w:pPr>
      <w:r>
        <w:t xml:space="preserve">Library Management</w:t>
      </w:r>
    </w:p>
    <w:p>
      <w:pPr>
        <w:pStyle w:val="ListParagraph"/>
        <w:numPr>
          <w:ilvl w:val="0"/>
          <w:numId w:val="1"/>
        </w:numPr>
        <w:spacing w:after="60"/>
      </w:pPr>
      <w:r>
        <w:t xml:space="preserve">School Clinic Module</w:t>
      </w:r>
    </w:p>
    <w:p>
      <w:pPr>
        <w:pStyle w:val="ListParagraph"/>
        <w:numPr>
          <w:ilvl w:val="0"/>
          <w:numId w:val="1"/>
        </w:numPr>
        <w:spacing w:after="60"/>
      </w:pPr>
      <w:r>
        <w:t xml:space="preserve">Payroll</w:t>
      </w:r>
    </w:p>
    <w:p>
      <w:pPr>
        <w:pStyle w:val="ListParagraph"/>
        <w:numPr>
          <w:ilvl w:val="0"/>
          <w:numId w:val="1"/>
        </w:numPr>
        <w:spacing w:after="60"/>
      </w:pPr>
      <w:r>
        <w:t xml:space="preserve">Online Learning</w:t>
      </w:r>
    </w:p>
    <w:p>
      <w:pPr>
        <w:pStyle w:val="ListParagraph"/>
        <w:numPr>
          <w:ilvl w:val="0"/>
          <w:numId w:val="1"/>
        </w:numPr>
        <w:spacing w:after="60"/>
      </w:pPr>
      <w:r>
        <w:t xml:space="preserve">Alumni Management</w:t>
      </w:r>
    </w:p>
    <w:p>
      <w:pPr>
        <w:pStyle w:val="ListParagraph"/>
        <w:numPr>
          <w:ilvl w:val="0"/>
          <w:numId w:val="1"/>
        </w:numPr>
        <w:spacing w:after="60"/>
      </w:pPr>
      <w:r>
        <w:t xml:space="preserve">Native Mobile Application</w:t>
      </w:r>
    </w:p>
    <w:p>
      <w:pPr>
        <w:pStyle w:val="ListParagraph"/>
        <w:numPr>
          <w:ilvl w:val="0"/>
          <w:numId w:val="1"/>
        </w:numPr>
        <w:spacing w:after="60"/>
      </w:pPr>
      <w:r>
        <w:t xml:space="preserve">M-Pesa Integration</w:t>
      </w:r>
    </w:p>
    <w:p>
      <w:pPr>
        <w:pStyle w:val="ListParagraph"/>
        <w:numPr>
          <w:ilvl w:val="0"/>
          <w:numId w:val="1"/>
        </w:numPr>
        <w:spacing w:after="60"/>
      </w:pPr>
      <w:r>
        <w:t xml:space="preserve">AI-driven Analytics</w:t>
      </w:r>
    </w:p>
    <w:p>
      <w:pPr>
        <w:pStyle w:val="ListParagraph"/>
        <w:numPr>
          <w:ilvl w:val="0"/>
          <w:numId w:val="1"/>
        </w:numPr>
        <w:spacing w:after="60"/>
      </w:pPr>
      <w:r>
        <w:t xml:space="preserve">Multi-School Support (multi-tenancy)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2026-07-31T19:41:33.163Z</dcterms:created>
  <dcterms:modified xsi:type="dcterms:W3CDTF">2026-07-31T19:41:33.163Z</dcterms:modified>
</cp:coreProperties>
</file>

<file path=docProps/custom.xml><?xml version="1.0" encoding="utf-8"?>
<Properties xmlns="http://schemas.openxmlformats.org/officeDocument/2006/custom-properties" xmlns:vt="http://schemas.openxmlformats.org/officeDocument/2006/docPropsVTypes"/>
</file>